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ascii="Arial" w:hAnsi="Arial" w:eastAsia="宋体" w:cs="Arial"/>
          <w:b/>
          <w:sz w:val="24"/>
          <w:szCs w:val="24"/>
          <w:lang w:eastAsia="zh-CN"/>
        </w:rPr>
      </w:pPr>
      <w:bookmarkStart w:id="0" w:name="Title"/>
      <w:bookmarkEnd w:id="0"/>
      <w:bookmarkStart w:id="1" w:name="DocumentFor"/>
      <w:bookmarkEnd w:id="1"/>
      <w:bookmarkStart w:id="2" w:name="_Toc193024528"/>
      <w:r>
        <w:rPr>
          <w:rFonts w:ascii="Arial" w:hAnsi="Arial" w:cs="Arial"/>
          <w:b/>
          <w:sz w:val="24"/>
          <w:szCs w:val="24"/>
        </w:rPr>
        <w:t>3GPP TSG-RAN WG4 Meeting #</w:t>
      </w:r>
      <w:r>
        <w:t xml:space="preserve"> </w:t>
      </w:r>
      <w:r>
        <w:rPr>
          <w:rFonts w:ascii="Arial" w:hAnsi="Arial" w:cs="Arial"/>
          <w:b/>
          <w:sz w:val="24"/>
          <w:szCs w:val="24"/>
        </w:rPr>
        <w:t xml:space="preserve">98-e </w:t>
      </w:r>
      <w:r>
        <w:rPr>
          <w:rFonts w:ascii="Arial" w:hAnsi="Arial" w:cs="Arial"/>
          <w:b/>
          <w:sz w:val="24"/>
          <w:szCs w:val="24"/>
        </w:rPr>
        <w:tab/>
      </w:r>
      <w:r>
        <w:rPr>
          <w:rFonts w:ascii="Arial" w:hAnsi="Arial" w:cs="Arial"/>
          <w:b/>
          <w:sz w:val="24"/>
          <w:szCs w:val="24"/>
        </w:rPr>
        <w:t>R4-21</w:t>
      </w:r>
      <w:r>
        <w:rPr>
          <w:rFonts w:hint="eastAsia" w:eastAsia="宋体" w:cs="Arial"/>
          <w:b/>
          <w:sz w:val="24"/>
          <w:szCs w:val="24"/>
          <w:lang w:val="en-US" w:eastAsia="zh-CN"/>
        </w:rPr>
        <w:t>02185</w:t>
      </w:r>
      <w:bookmarkStart w:id="3" w:name="_GoBack"/>
      <w:bookmarkEnd w:id="3"/>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sz w:val="24"/>
          <w:szCs w:val="24"/>
          <w:lang w:eastAsia="zh-CN"/>
        </w:rPr>
      </w:pPr>
      <w:r>
        <w:rPr>
          <w:rFonts w:ascii="Arial" w:hAnsi="Arial" w:eastAsia="宋体"/>
          <w:b/>
          <w:sz w:val="24"/>
          <w:szCs w:val="24"/>
          <w:lang w:eastAsia="zh-CN"/>
        </w:rPr>
        <w:t>Electronic Meeting, Jan. 25-Feb. 5, 2021</w:t>
      </w: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2"/>
          <w:szCs w:val="22"/>
          <w:highlight w:val="none"/>
          <w:lang w:val="en-US" w:eastAsia="zh-CN"/>
        </w:rPr>
      </w:pPr>
      <w:r>
        <w:rPr>
          <w:rFonts w:hint="default" w:ascii="Arial" w:hAnsi="Arial" w:cs="Arial"/>
          <w:color w:val="auto"/>
          <w:sz w:val="22"/>
          <w:szCs w:val="22"/>
          <w:highlight w:val="none"/>
          <w:lang w:eastAsia="zh-CN"/>
        </w:rPr>
        <w:t>Source</w:t>
      </w:r>
      <w:r>
        <w:rPr>
          <w:rFonts w:hint="default" w:ascii="Arial" w:hAnsi="Arial" w:eastAsia="宋体" w:cs="Arial"/>
          <w:color w:val="auto"/>
          <w:sz w:val="22"/>
          <w:szCs w:val="22"/>
          <w:highlight w:val="none"/>
          <w:lang w:eastAsia="zh-CN"/>
        </w:rPr>
        <w:t>:</w:t>
      </w:r>
      <w:r>
        <w:rPr>
          <w:rFonts w:hint="default" w:ascii="Arial" w:hAnsi="Arial" w:eastAsia="宋体" w:cs="Arial"/>
          <w:color w:val="auto"/>
          <w:sz w:val="22"/>
          <w:szCs w:val="22"/>
          <w:highlight w:val="none"/>
          <w:lang w:eastAsia="zh-CN"/>
        </w:rPr>
        <w:tab/>
      </w:r>
      <w:r>
        <w:rPr>
          <w:rFonts w:hint="default" w:ascii="Arial" w:hAnsi="Arial" w:eastAsia="宋体" w:cs="Arial"/>
          <w:b w:val="0"/>
          <w:color w:val="auto"/>
          <w:sz w:val="22"/>
          <w:szCs w:val="22"/>
          <w:highlight w:val="none"/>
          <w:lang w:eastAsia="zh-CN"/>
        </w:rPr>
        <w:t>ZTE</w:t>
      </w:r>
      <w:r>
        <w:rPr>
          <w:rFonts w:hint="default" w:ascii="Arial" w:hAnsi="Arial" w:eastAsia="宋体" w:cs="Arial"/>
          <w:b w:val="0"/>
          <w:color w:val="auto"/>
          <w:sz w:val="22"/>
          <w:szCs w:val="22"/>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color w:val="auto"/>
          <w:sz w:val="22"/>
          <w:szCs w:val="22"/>
          <w:highlight w:val="none"/>
          <w:lang w:val="en-US" w:eastAsia="zh-CN"/>
        </w:rPr>
      </w:pPr>
      <w:r>
        <w:rPr>
          <w:rFonts w:hint="default" w:ascii="Arial" w:hAnsi="Arial" w:cs="Arial"/>
          <w:color w:val="auto"/>
          <w:sz w:val="22"/>
          <w:szCs w:val="22"/>
          <w:highlight w:val="none"/>
          <w:lang w:val="en-US" w:eastAsia="zh-CN"/>
        </w:rPr>
        <w:t>Title:</w:t>
      </w:r>
      <w:r>
        <w:rPr>
          <w:rFonts w:hint="default" w:ascii="Arial" w:hAnsi="Arial" w:cs="Arial"/>
          <w:color w:val="auto"/>
          <w:sz w:val="22"/>
          <w:szCs w:val="22"/>
          <w:highlight w:val="none"/>
          <w:lang w:val="en-US" w:eastAsia="zh-CN"/>
        </w:rPr>
        <w:tab/>
      </w:r>
      <w:r>
        <w:rPr>
          <w:rFonts w:hint="eastAsia" w:cs="Arial"/>
          <w:b w:val="0"/>
          <w:bCs/>
          <w:color w:val="auto"/>
          <w:sz w:val="22"/>
          <w:szCs w:val="22"/>
          <w:highlight w:val="none"/>
          <w:lang w:val="en-US" w:eastAsia="zh-CN"/>
        </w:rPr>
        <w:t xml:space="preserve">Discussion on PC2 intra-band non-contiguous NR CA </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2"/>
          <w:szCs w:val="22"/>
          <w:highlight w:val="none"/>
          <w:lang w:val="en-US" w:eastAsia="zh-CN"/>
        </w:rPr>
      </w:pPr>
      <w:r>
        <w:rPr>
          <w:rFonts w:hint="default" w:ascii="Arial" w:hAnsi="Arial" w:cs="Arial"/>
          <w:color w:val="auto"/>
          <w:sz w:val="22"/>
          <w:szCs w:val="22"/>
          <w:highlight w:val="none"/>
          <w:lang w:eastAsia="zh-CN"/>
        </w:rPr>
        <w:t>Agenda Item:</w:t>
      </w:r>
      <w:r>
        <w:rPr>
          <w:rFonts w:hint="default" w:ascii="Arial" w:hAnsi="Arial" w:cs="Arial"/>
          <w:color w:val="auto"/>
          <w:sz w:val="22"/>
          <w:szCs w:val="22"/>
          <w:highlight w:val="none"/>
          <w:lang w:eastAsia="zh-CN"/>
        </w:rPr>
        <w:tab/>
      </w:r>
      <w:r>
        <w:rPr>
          <w:rFonts w:hint="eastAsia" w:ascii="Arial" w:hAnsi="Arial" w:cs="Arial"/>
          <w:b w:val="0"/>
          <w:bCs/>
          <w:sz w:val="22"/>
          <w:szCs w:val="22"/>
          <w:highlight w:val="none"/>
          <w:lang w:val="en-US" w:eastAsia="zh-CN"/>
        </w:rPr>
        <w:t>1</w:t>
      </w:r>
      <w:r>
        <w:rPr>
          <w:rFonts w:hint="eastAsia" w:cs="Arial"/>
          <w:b w:val="0"/>
          <w:bCs/>
          <w:sz w:val="22"/>
          <w:szCs w:val="22"/>
          <w:highlight w:val="none"/>
          <w:lang w:val="en-US" w:eastAsia="zh-CN"/>
        </w:rPr>
        <w:t>1.2.2.5</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highlight w:val="none"/>
          <w:lang w:eastAsia="zh-CN"/>
        </w:rPr>
      </w:pPr>
      <w:r>
        <w:rPr>
          <w:rFonts w:hint="default" w:ascii="Arial" w:hAnsi="Arial" w:cs="Arial"/>
          <w:color w:val="auto"/>
          <w:sz w:val="22"/>
          <w:szCs w:val="22"/>
          <w:highlight w:val="none"/>
          <w:lang w:eastAsia="zh-CN"/>
        </w:rPr>
        <w:t>Document for:</w:t>
      </w:r>
      <w:r>
        <w:rPr>
          <w:rFonts w:hint="default" w:ascii="Arial" w:hAnsi="Arial" w:cs="Arial"/>
          <w:color w:val="auto"/>
          <w:sz w:val="22"/>
          <w:szCs w:val="22"/>
          <w:highlight w:val="none"/>
          <w:lang w:eastAsia="zh-CN"/>
        </w:rPr>
        <w:tab/>
      </w:r>
      <w:r>
        <w:rPr>
          <w:rFonts w:hint="default" w:ascii="Arial" w:hAnsi="Arial" w:eastAsia="宋体" w:cs="Arial"/>
          <w:b w:val="0"/>
          <w:color w:val="auto"/>
          <w:sz w:val="22"/>
          <w:szCs w:val="22"/>
          <w:highlight w:val="none"/>
          <w:lang w:val="en-US" w:eastAsia="zh-CN"/>
        </w:rPr>
        <w:t>Approval</w:t>
      </w:r>
      <w:r>
        <w:rPr>
          <w:rFonts w:hint="default" w:ascii="Arial" w:hAnsi="Arial" w:eastAsia="宋体" w:cs="Arial"/>
          <w:color w:val="auto"/>
          <w:sz w:val="20"/>
          <w:highlight w:val="none"/>
          <w:lang w:eastAsia="zh-CN"/>
        </w:rPr>
        <w:t xml:space="preserve"> </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color w:val="auto"/>
          <w:sz w:val="28"/>
          <w:szCs w:val="24"/>
          <w:highlight w:val="none"/>
          <w:lang w:eastAsia="zh-CN"/>
        </w:rPr>
      </w:pPr>
      <w:r>
        <w:rPr>
          <w:rFonts w:hint="default" w:ascii="Arial" w:hAnsi="Arial" w:eastAsia="宋体" w:cs="Arial"/>
          <w:b/>
          <w:color w:val="auto"/>
          <w:sz w:val="28"/>
          <w:szCs w:val="24"/>
          <w:highlight w:val="none"/>
          <w:lang w:val="en-US" w:eastAsia="zh-CN"/>
        </w:rPr>
        <w:t>1</w:t>
      </w:r>
      <w:r>
        <w:rPr>
          <w:rFonts w:hint="default" w:ascii="Arial" w:hAnsi="Arial" w:eastAsia="宋体" w:cs="Arial"/>
          <w:b/>
          <w:color w:val="auto"/>
          <w:sz w:val="28"/>
          <w:szCs w:val="24"/>
          <w:highlight w:val="none"/>
          <w:lang w:val="en-US" w:eastAsia="zh-CN"/>
        </w:rPr>
        <w:tab/>
      </w:r>
      <w:r>
        <w:rPr>
          <w:rFonts w:hint="default" w:ascii="Arial" w:hAnsi="Arial" w:eastAsia="宋体" w:cs="Arial"/>
          <w:b/>
          <w:color w:val="auto"/>
          <w:sz w:val="28"/>
          <w:szCs w:val="24"/>
          <w:highlight w:val="none"/>
          <w:lang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color w:val="auto"/>
          <w:sz w:val="20"/>
          <w:szCs w:val="22"/>
          <w:highlight w:val="none"/>
          <w:lang w:val="en-US" w:eastAsia="zh-CN"/>
        </w:rPr>
      </w:pPr>
      <w:r>
        <w:rPr>
          <w:rFonts w:hint="eastAsia" w:eastAsia="宋体" w:cs="Times New Roman"/>
          <w:i w:val="0"/>
          <w:iCs w:val="0"/>
          <w:color w:val="auto"/>
          <w:sz w:val="20"/>
          <w:szCs w:val="22"/>
          <w:highlight w:val="none"/>
          <w:lang w:val="en-US" w:eastAsia="zh-CN"/>
        </w:rPr>
        <w:t>In last Ran #90e meeting, HPUE TDD intra-band non-contiguous UL CA were included in the revised WID[1]</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color w:val="auto"/>
          <w:sz w:val="20"/>
          <w:szCs w:val="22"/>
          <w:highlight w:val="none"/>
          <w:lang w:val="en-US" w:eastAsia="zh-CN"/>
        </w:rPr>
      </w:pPr>
      <w:r>
        <w:rPr>
          <w:rFonts w:hint="eastAsia" w:eastAsia="宋体" w:cs="Times New Roman"/>
          <w:i w:val="0"/>
          <w:iCs w:val="0"/>
          <w:color w:val="auto"/>
          <w:sz w:val="20"/>
          <w:szCs w:val="22"/>
          <w:highlight w:val="none"/>
          <w:lang w:val="en-US" w:eastAsia="zh-CN"/>
        </w:rPr>
        <w:t>a new WID[1] for R17 NR FR1 was agreed, where the objectives for HPUE TDD intra-band contiguous UL CA are listed below.</w:t>
      </w:r>
    </w:p>
    <w:p>
      <w:pPr>
        <w:numPr>
          <w:ilvl w:val="0"/>
          <w:numId w:val="13"/>
        </w:numPr>
        <w:overflowPunct/>
        <w:autoSpaceDE/>
        <w:autoSpaceDN/>
        <w:spacing w:after="0"/>
        <w:textAlignment w:val="auto"/>
        <w:rPr>
          <w:rFonts w:eastAsia="等线"/>
          <w:i/>
          <w:iCs/>
          <w:color w:val="auto"/>
          <w:sz w:val="20"/>
          <w:lang w:val="en-US" w:eastAsia="zh-CN"/>
        </w:rPr>
      </w:pPr>
      <w:r>
        <w:rPr>
          <w:rFonts w:eastAsia="等线"/>
          <w:color w:val="auto"/>
          <w:lang w:val="en-US" w:eastAsia="zh-CN"/>
        </w:rPr>
        <w:t xml:space="preserve"> </w:t>
      </w:r>
      <w:r>
        <w:rPr>
          <w:rFonts w:eastAsia="等线"/>
          <w:i/>
          <w:iCs/>
          <w:color w:val="auto"/>
          <w:sz w:val="20"/>
          <w:lang w:val="en-US" w:eastAsia="zh-CN"/>
        </w:rPr>
        <w:t>HPUE for TDD intra</w:t>
      </w:r>
      <w:r>
        <w:rPr>
          <w:rFonts w:hint="eastAsia" w:eastAsia="等线"/>
          <w:i/>
          <w:iCs/>
          <w:color w:val="auto"/>
          <w:sz w:val="20"/>
          <w:lang w:val="en-US" w:eastAsia="zh-CN"/>
        </w:rPr>
        <w:t>-</w:t>
      </w:r>
      <w:r>
        <w:rPr>
          <w:rFonts w:eastAsia="等线"/>
          <w:i/>
          <w:iCs/>
          <w:color w:val="auto"/>
          <w:sz w:val="20"/>
          <w:lang w:val="en-US" w:eastAsia="zh-CN"/>
        </w:rPr>
        <w:t>band contiguous and non-contiguous UL CA</w:t>
      </w:r>
    </w:p>
    <w:p>
      <w:pPr>
        <w:numPr>
          <w:ilvl w:val="1"/>
          <w:numId w:val="14"/>
        </w:numPr>
        <w:overflowPunct/>
        <w:autoSpaceDE/>
        <w:autoSpaceDN/>
        <w:spacing w:after="0"/>
        <w:ind w:left="1134" w:hanging="283"/>
        <w:textAlignment w:val="auto"/>
        <w:rPr>
          <w:rFonts w:eastAsia="等线"/>
          <w:i/>
          <w:iCs/>
          <w:color w:val="auto"/>
          <w:sz w:val="20"/>
          <w:lang w:val="en-US" w:eastAsia="ja-JP"/>
        </w:rPr>
      </w:pPr>
      <w:r>
        <w:rPr>
          <w:rFonts w:eastAsia="等线"/>
          <w:i/>
          <w:iCs/>
          <w:color w:val="auto"/>
          <w:sz w:val="20"/>
          <w:lang w:val="en-US" w:eastAsia="ja-JP"/>
        </w:rPr>
        <w:t>Take n41, n77 and n78 intra-band contiguous UL CA for examples</w:t>
      </w:r>
    </w:p>
    <w:p>
      <w:pPr>
        <w:numPr>
          <w:ilvl w:val="2"/>
          <w:numId w:val="15"/>
        </w:numPr>
        <w:overflowPunct/>
        <w:autoSpaceDE/>
        <w:autoSpaceDN/>
        <w:spacing w:after="0"/>
        <w:ind w:left="1843" w:hanging="425"/>
        <w:textAlignment w:val="auto"/>
        <w:rPr>
          <w:rFonts w:eastAsia="等线"/>
          <w:i/>
          <w:iCs/>
          <w:color w:val="auto"/>
          <w:sz w:val="20"/>
          <w:lang w:val="en-US" w:eastAsia="ja-JP"/>
        </w:rPr>
      </w:pPr>
      <w:r>
        <w:rPr>
          <w:rFonts w:eastAsia="等线"/>
          <w:i/>
          <w:iCs/>
          <w:color w:val="auto"/>
          <w:sz w:val="20"/>
          <w:lang w:val="en-US" w:eastAsia="zh-CN"/>
        </w:rPr>
        <w:t>The</w:t>
      </w:r>
      <w:r>
        <w:rPr>
          <w:rFonts w:hint="eastAsia" w:eastAsia="等线"/>
          <w:i/>
          <w:iCs/>
          <w:color w:val="auto"/>
          <w:sz w:val="20"/>
          <w:lang w:val="en-US" w:eastAsia="zh-CN"/>
        </w:rPr>
        <w:t xml:space="preserve"> </w:t>
      </w:r>
      <w:r>
        <w:rPr>
          <w:rFonts w:eastAsia="等线"/>
          <w:i/>
          <w:iCs/>
          <w:color w:val="auto"/>
          <w:sz w:val="20"/>
          <w:lang w:val="en-US" w:eastAsia="zh-CN"/>
        </w:rPr>
        <w:t>two example intra-band contiguous UL CA configurations are under considerations</w:t>
      </w:r>
    </w:p>
    <w:p>
      <w:pPr>
        <w:numPr>
          <w:ilvl w:val="3"/>
          <w:numId w:val="15"/>
        </w:numPr>
        <w:overflowPunct/>
        <w:autoSpaceDE/>
        <w:autoSpaceDN/>
        <w:spacing w:after="0"/>
        <w:ind w:left="2268"/>
        <w:textAlignment w:val="auto"/>
        <w:rPr>
          <w:rFonts w:eastAsia="等线"/>
          <w:i/>
          <w:iCs/>
          <w:color w:val="auto"/>
          <w:sz w:val="20"/>
          <w:lang w:val="en-US" w:eastAsia="zh-CN"/>
        </w:rPr>
      </w:pPr>
      <w:r>
        <w:rPr>
          <w:rFonts w:hint="eastAsia" w:eastAsia="等线"/>
          <w:i/>
          <w:iCs/>
          <w:color w:val="auto"/>
          <w:sz w:val="20"/>
          <w:lang w:val="en-US" w:eastAsia="zh-CN"/>
        </w:rPr>
        <w:t>C</w:t>
      </w:r>
      <w:r>
        <w:rPr>
          <w:rFonts w:eastAsia="等线"/>
          <w:i/>
          <w:iCs/>
          <w:color w:val="auto"/>
          <w:sz w:val="20"/>
          <w:lang w:val="en-US" w:eastAsia="zh-CN"/>
        </w:rPr>
        <w:t>A_n41C, CA_n78C, CA_n77C</w:t>
      </w:r>
    </w:p>
    <w:p>
      <w:pPr>
        <w:numPr>
          <w:ilvl w:val="1"/>
          <w:numId w:val="14"/>
        </w:numPr>
        <w:overflowPunct/>
        <w:autoSpaceDE/>
        <w:autoSpaceDN/>
        <w:spacing w:after="0"/>
        <w:ind w:left="1134" w:hanging="283"/>
        <w:textAlignment w:val="auto"/>
        <w:rPr>
          <w:rFonts w:eastAsia="等线"/>
          <w:i/>
          <w:iCs/>
          <w:color w:val="auto"/>
          <w:sz w:val="20"/>
          <w:lang w:val="en-US" w:eastAsia="ja-JP"/>
        </w:rPr>
      </w:pPr>
      <w:r>
        <w:rPr>
          <w:rFonts w:hint="eastAsia" w:eastAsia="等线"/>
          <w:i/>
          <w:iCs/>
          <w:color w:val="auto"/>
          <w:sz w:val="20"/>
          <w:lang w:val="en-US" w:eastAsia="zh-CN"/>
        </w:rPr>
        <w:t>T</w:t>
      </w:r>
      <w:r>
        <w:rPr>
          <w:rFonts w:eastAsia="等线"/>
          <w:i/>
          <w:iCs/>
          <w:color w:val="auto"/>
          <w:sz w:val="20"/>
          <w:lang w:val="en-US" w:eastAsia="zh-CN"/>
        </w:rPr>
        <w:t>ake n77 intra-band non-contiguous UL CA for example</w:t>
      </w:r>
    </w:p>
    <w:p>
      <w:pPr>
        <w:numPr>
          <w:ilvl w:val="2"/>
          <w:numId w:val="15"/>
        </w:numPr>
        <w:overflowPunct/>
        <w:autoSpaceDE/>
        <w:autoSpaceDN/>
        <w:spacing w:after="0"/>
        <w:ind w:left="1843" w:hanging="425"/>
        <w:textAlignment w:val="auto"/>
        <w:rPr>
          <w:rFonts w:eastAsia="等线"/>
          <w:i/>
          <w:iCs/>
          <w:color w:val="auto"/>
          <w:sz w:val="20"/>
          <w:lang w:val="en-US" w:eastAsia="ja-JP"/>
        </w:rPr>
      </w:pPr>
      <w:r>
        <w:rPr>
          <w:rFonts w:hint="eastAsia" w:eastAsia="等线"/>
          <w:i/>
          <w:iCs/>
          <w:color w:val="auto"/>
          <w:sz w:val="20"/>
          <w:lang w:val="en-US" w:eastAsia="zh-CN"/>
        </w:rPr>
        <w:t>On</w:t>
      </w:r>
      <w:r>
        <w:rPr>
          <w:rFonts w:eastAsia="等线"/>
          <w:i/>
          <w:iCs/>
          <w:color w:val="auto"/>
          <w:sz w:val="20"/>
          <w:lang w:val="en-US" w:eastAsia="zh-CN"/>
        </w:rPr>
        <w:t>e example intra-band non-contiguous UL CA configuration is under considerations: CA_n77(2A)</w:t>
      </w:r>
    </w:p>
    <w:p>
      <w:pPr>
        <w:numPr>
          <w:ilvl w:val="1"/>
          <w:numId w:val="14"/>
        </w:numPr>
        <w:overflowPunct/>
        <w:autoSpaceDE/>
        <w:autoSpaceDN/>
        <w:spacing w:after="0"/>
        <w:ind w:left="1134" w:hanging="283"/>
        <w:textAlignment w:val="auto"/>
        <w:rPr>
          <w:rFonts w:eastAsia="等线"/>
          <w:i/>
          <w:iCs/>
          <w:color w:val="auto"/>
          <w:sz w:val="20"/>
          <w:lang w:val="en-US" w:eastAsia="ja-JP"/>
        </w:rPr>
      </w:pPr>
      <w:r>
        <w:rPr>
          <w:rFonts w:eastAsia="等线"/>
          <w:i/>
          <w:iCs/>
          <w:color w:val="auto"/>
          <w:sz w:val="20"/>
          <w:lang w:val="en-US" w:eastAsia="ja-JP"/>
        </w:rPr>
        <w:t>Investigate and specify the 26dBm power class for n41and n78 intra-band contiguous, and n77 intra-band contiguous/non-contiguous UL CA</w:t>
      </w:r>
    </w:p>
    <w:p>
      <w:pPr>
        <w:numPr>
          <w:ilvl w:val="2"/>
          <w:numId w:val="15"/>
        </w:numPr>
        <w:overflowPunct/>
        <w:autoSpaceDE/>
        <w:autoSpaceDN/>
        <w:spacing w:after="0"/>
        <w:ind w:left="1843" w:hanging="425"/>
        <w:textAlignment w:val="auto"/>
        <w:rPr>
          <w:rFonts w:eastAsia="等线"/>
          <w:i/>
          <w:iCs/>
          <w:color w:val="auto"/>
          <w:sz w:val="20"/>
          <w:lang w:val="en-US" w:eastAsia="ja-JP"/>
        </w:rPr>
      </w:pPr>
      <w:r>
        <w:rPr>
          <w:rFonts w:eastAsia="等线"/>
          <w:i/>
          <w:iCs/>
          <w:color w:val="auto"/>
          <w:sz w:val="20"/>
          <w:lang w:val="en-US" w:eastAsia="ja-JP"/>
        </w:rPr>
        <w:t>Identify the impact of different UE architectures on the requirements</w:t>
      </w:r>
    </w:p>
    <w:p>
      <w:pPr>
        <w:numPr>
          <w:ilvl w:val="3"/>
          <w:numId w:val="15"/>
        </w:numPr>
        <w:overflowPunct/>
        <w:autoSpaceDE/>
        <w:autoSpaceDN/>
        <w:spacing w:after="0"/>
        <w:ind w:left="2268"/>
        <w:textAlignment w:val="auto"/>
        <w:rPr>
          <w:rFonts w:eastAsia="等线"/>
          <w:i/>
          <w:iCs/>
          <w:color w:val="auto"/>
          <w:sz w:val="20"/>
          <w:lang w:val="en-US" w:eastAsia="zh-CN"/>
        </w:rPr>
      </w:pPr>
      <w:r>
        <w:rPr>
          <w:rFonts w:eastAsia="等线"/>
          <w:i/>
          <w:iCs/>
          <w:color w:val="auto"/>
          <w:sz w:val="20"/>
          <w:lang w:val="en-US" w:eastAsia="zh-CN"/>
        </w:rPr>
        <w:t xml:space="preserve"> Power class relation between single CC and intra-band contiguous/non-contiguous CA on HPUE band is clarified if any</w:t>
      </w:r>
    </w:p>
    <w:p>
      <w:pPr>
        <w:numPr>
          <w:ilvl w:val="2"/>
          <w:numId w:val="15"/>
        </w:numPr>
        <w:overflowPunct/>
        <w:autoSpaceDE/>
        <w:autoSpaceDN/>
        <w:spacing w:after="0"/>
        <w:ind w:left="1843" w:hanging="425"/>
        <w:textAlignment w:val="auto"/>
        <w:rPr>
          <w:rFonts w:eastAsia="等线"/>
          <w:i/>
          <w:iCs/>
          <w:color w:val="auto"/>
          <w:sz w:val="20"/>
          <w:lang w:val="en-US" w:eastAsia="ja-JP"/>
        </w:rPr>
      </w:pPr>
      <w:r>
        <w:rPr>
          <w:rFonts w:eastAsia="等线"/>
          <w:i/>
          <w:iCs/>
          <w:color w:val="auto"/>
          <w:sz w:val="20"/>
          <w:lang w:val="en-US" w:eastAsia="ja-JP"/>
        </w:rPr>
        <w:t>Specify the mechanism to meet SAR requirements if necessary</w:t>
      </w:r>
    </w:p>
    <w:p>
      <w:pPr>
        <w:numPr>
          <w:ilvl w:val="3"/>
          <w:numId w:val="15"/>
        </w:numPr>
        <w:overflowPunct/>
        <w:autoSpaceDE/>
        <w:autoSpaceDN/>
        <w:spacing w:after="0"/>
        <w:ind w:left="2268"/>
        <w:textAlignment w:val="auto"/>
        <w:rPr>
          <w:rFonts w:eastAsia="等线"/>
          <w:i/>
          <w:iCs/>
          <w:color w:val="auto"/>
          <w:sz w:val="20"/>
          <w:lang w:val="en-US" w:eastAsia="zh-CN"/>
        </w:rPr>
      </w:pPr>
      <w:r>
        <w:rPr>
          <w:rFonts w:eastAsia="等线"/>
          <w:i/>
          <w:iCs/>
          <w:color w:val="auto"/>
          <w:sz w:val="20"/>
          <w:lang w:val="en-US" w:eastAsia="zh-CN"/>
        </w:rPr>
        <w:t>Mechanism for HPUE on single carrier can be a start point considering the same UL-DL configuration assumption</w:t>
      </w:r>
    </w:p>
    <w:p>
      <w:pPr>
        <w:numPr>
          <w:ilvl w:val="2"/>
          <w:numId w:val="15"/>
        </w:numPr>
        <w:overflowPunct/>
        <w:autoSpaceDE/>
        <w:autoSpaceDN/>
        <w:spacing w:after="0"/>
        <w:ind w:left="1843" w:hanging="425"/>
        <w:textAlignment w:val="auto"/>
        <w:rPr>
          <w:rFonts w:eastAsia="等线"/>
          <w:i/>
          <w:iCs/>
          <w:color w:val="auto"/>
          <w:sz w:val="20"/>
          <w:lang w:val="en-US" w:eastAsia="ja-JP"/>
        </w:rPr>
      </w:pPr>
      <w:r>
        <w:rPr>
          <w:rFonts w:eastAsia="等线"/>
          <w:i/>
          <w:iCs/>
          <w:color w:val="auto"/>
          <w:sz w:val="20"/>
          <w:lang w:val="en-US" w:eastAsia="ja-JP"/>
        </w:rPr>
        <w:t>A-MPR requirement</w:t>
      </w:r>
    </w:p>
    <w:p>
      <w:pPr>
        <w:numPr>
          <w:ilvl w:val="1"/>
          <w:numId w:val="14"/>
        </w:numPr>
        <w:overflowPunct/>
        <w:autoSpaceDE/>
        <w:autoSpaceDN/>
        <w:spacing w:after="0"/>
        <w:ind w:left="1134" w:hanging="283"/>
        <w:textAlignment w:val="auto"/>
        <w:rPr>
          <w:rFonts w:eastAsia="等线"/>
          <w:i/>
          <w:iCs/>
          <w:color w:val="auto"/>
          <w:sz w:val="20"/>
          <w:lang w:val="en-US" w:eastAsia="ja-JP"/>
        </w:rPr>
      </w:pPr>
      <w:r>
        <w:rPr>
          <w:rFonts w:eastAsia="等线"/>
          <w:i/>
          <w:iCs/>
          <w:color w:val="auto"/>
          <w:sz w:val="20"/>
          <w:lang w:val="en-US" w:eastAsia="ja-JP"/>
        </w:rPr>
        <w:t>Specify MPR requirements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color w:val="auto"/>
          <w:sz w:val="20"/>
          <w:szCs w:val="22"/>
          <w:highlight w:val="none"/>
          <w:lang w:val="en-US" w:eastAsia="zh-CN"/>
        </w:rPr>
      </w:pPr>
      <w:r>
        <w:rPr>
          <w:rFonts w:hint="eastAsia" w:ascii="Times New Roman" w:hAnsi="Times New Roman" w:eastAsia="宋体" w:cs="Times New Roman"/>
          <w:i w:val="0"/>
          <w:iCs w:val="0"/>
          <w:color w:val="auto"/>
          <w:sz w:val="20"/>
          <w:szCs w:val="22"/>
          <w:highlight w:val="none"/>
          <w:lang w:val="en-US" w:eastAsia="zh-CN"/>
        </w:rPr>
        <w:t xml:space="preserve">In this contribution, we give some </w:t>
      </w:r>
      <w:r>
        <w:rPr>
          <w:rFonts w:hint="eastAsia" w:eastAsia="宋体" w:cs="Times New Roman"/>
          <w:i w:val="0"/>
          <w:iCs w:val="0"/>
          <w:color w:val="auto"/>
          <w:sz w:val="20"/>
          <w:szCs w:val="22"/>
          <w:highlight w:val="none"/>
          <w:lang w:val="en-US" w:eastAsia="zh-CN"/>
        </w:rPr>
        <w:t xml:space="preserve">initial </w:t>
      </w:r>
      <w:r>
        <w:rPr>
          <w:rFonts w:hint="eastAsia" w:ascii="Times New Roman" w:hAnsi="Times New Roman" w:eastAsia="宋体" w:cs="Times New Roman"/>
          <w:i w:val="0"/>
          <w:iCs w:val="0"/>
          <w:color w:val="auto"/>
          <w:sz w:val="20"/>
          <w:szCs w:val="22"/>
          <w:highlight w:val="none"/>
          <w:lang w:val="en-US" w:eastAsia="zh-CN"/>
        </w:rPr>
        <w:t>discussion on the</w:t>
      </w:r>
      <w:r>
        <w:rPr>
          <w:rFonts w:hint="eastAsia" w:eastAsia="宋体" w:cs="Times New Roman"/>
          <w:i w:val="0"/>
          <w:iCs w:val="0"/>
          <w:color w:val="auto"/>
          <w:sz w:val="20"/>
          <w:szCs w:val="22"/>
          <w:highlight w:val="none"/>
          <w:lang w:val="en-US" w:eastAsia="zh-CN"/>
        </w:rPr>
        <w:t xml:space="preserve"> PC2</w:t>
      </w:r>
      <w:r>
        <w:rPr>
          <w:rFonts w:hint="eastAsia" w:ascii="Times New Roman" w:hAnsi="Times New Roman" w:eastAsia="宋体" w:cs="Times New Roman"/>
          <w:i w:val="0"/>
          <w:iCs w:val="0"/>
          <w:color w:val="auto"/>
          <w:sz w:val="20"/>
          <w:szCs w:val="22"/>
          <w:highlight w:val="none"/>
          <w:lang w:val="en-US" w:eastAsia="zh-CN"/>
        </w:rPr>
        <w:t xml:space="preserve"> NR </w:t>
      </w:r>
      <w:r>
        <w:rPr>
          <w:rFonts w:hint="eastAsia" w:eastAsia="宋体" w:cs="Times New Roman"/>
          <w:i w:val="0"/>
          <w:iCs w:val="0"/>
          <w:color w:val="auto"/>
          <w:sz w:val="20"/>
          <w:szCs w:val="22"/>
          <w:highlight w:val="none"/>
          <w:lang w:val="en-US" w:eastAsia="zh-CN"/>
        </w:rPr>
        <w:t xml:space="preserve">TDD </w:t>
      </w:r>
      <w:r>
        <w:rPr>
          <w:rFonts w:hint="eastAsia" w:ascii="Times New Roman" w:hAnsi="Times New Roman" w:eastAsia="宋体" w:cs="Times New Roman"/>
          <w:i w:val="0"/>
          <w:iCs w:val="0"/>
          <w:color w:val="auto"/>
          <w:sz w:val="20"/>
          <w:szCs w:val="22"/>
          <w:highlight w:val="none"/>
          <w:lang w:val="en-US" w:eastAsia="zh-CN"/>
        </w:rPr>
        <w:t>int</w:t>
      </w:r>
      <w:r>
        <w:rPr>
          <w:rFonts w:hint="eastAsia" w:eastAsia="宋体" w:cs="Times New Roman"/>
          <w:i w:val="0"/>
          <w:iCs w:val="0"/>
          <w:color w:val="auto"/>
          <w:sz w:val="20"/>
          <w:szCs w:val="22"/>
          <w:highlight w:val="none"/>
          <w:lang w:val="en-US" w:eastAsia="zh-CN"/>
        </w:rPr>
        <w:t>ra</w:t>
      </w:r>
      <w:r>
        <w:rPr>
          <w:rFonts w:hint="eastAsia" w:ascii="Times New Roman" w:hAnsi="Times New Roman" w:eastAsia="宋体" w:cs="Times New Roman"/>
          <w:i w:val="0"/>
          <w:iCs w:val="0"/>
          <w:color w:val="auto"/>
          <w:sz w:val="20"/>
          <w:szCs w:val="22"/>
          <w:highlight w:val="none"/>
          <w:lang w:val="en-US" w:eastAsia="zh-CN"/>
        </w:rPr>
        <w:t xml:space="preserve">-band </w:t>
      </w:r>
      <w:r>
        <w:rPr>
          <w:rFonts w:hint="eastAsia" w:eastAsia="宋体" w:cs="Times New Roman"/>
          <w:i w:val="0"/>
          <w:iCs w:val="0"/>
          <w:color w:val="auto"/>
          <w:sz w:val="20"/>
          <w:szCs w:val="22"/>
          <w:highlight w:val="none"/>
          <w:lang w:val="en-US" w:eastAsia="zh-CN"/>
        </w:rPr>
        <w:t xml:space="preserve">non-contiguous UL </w:t>
      </w:r>
      <w:r>
        <w:rPr>
          <w:rFonts w:hint="eastAsia" w:ascii="Times New Roman" w:hAnsi="Times New Roman" w:eastAsia="宋体" w:cs="Times New Roman"/>
          <w:i w:val="0"/>
          <w:iCs w:val="0"/>
          <w:color w:val="auto"/>
          <w:sz w:val="20"/>
          <w:szCs w:val="22"/>
          <w:highlight w:val="none"/>
          <w:lang w:val="en-US" w:eastAsia="zh-CN"/>
        </w:rPr>
        <w:t>CA.</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color w:val="auto"/>
          <w:sz w:val="28"/>
          <w:szCs w:val="24"/>
          <w:highlight w:val="none"/>
          <w:lang w:eastAsia="zh-CN"/>
        </w:rPr>
      </w:pPr>
      <w:r>
        <w:rPr>
          <w:rFonts w:hint="default" w:ascii="Arial" w:hAnsi="Arial" w:eastAsia="宋体" w:cs="Arial"/>
          <w:b/>
          <w:color w:val="auto"/>
          <w:sz w:val="28"/>
          <w:szCs w:val="24"/>
          <w:highlight w:val="none"/>
          <w:lang w:val="en-US" w:eastAsia="zh-CN"/>
        </w:rPr>
        <w:t>2</w:t>
      </w:r>
      <w:r>
        <w:rPr>
          <w:rFonts w:hint="default" w:ascii="Arial" w:hAnsi="Arial" w:eastAsia="宋体" w:cs="Arial"/>
          <w:b/>
          <w:color w:val="auto"/>
          <w:sz w:val="28"/>
          <w:szCs w:val="24"/>
          <w:highlight w:val="none"/>
          <w:lang w:val="en-US" w:eastAsia="zh-CN"/>
        </w:rPr>
        <w:tab/>
      </w:r>
      <w:r>
        <w:rPr>
          <w:rFonts w:hint="default" w:ascii="Arial" w:hAnsi="Arial" w:eastAsia="宋体" w:cs="Arial"/>
          <w:b/>
          <w:color w:val="auto"/>
          <w:sz w:val="28"/>
          <w:szCs w:val="24"/>
          <w:highlight w:val="none"/>
          <w:lang w:eastAsia="zh-CN"/>
        </w:rPr>
        <w:t>Discussion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color w:val="auto"/>
          <w:sz w:val="20"/>
          <w:szCs w:val="22"/>
          <w:highlight w:val="none"/>
          <w:lang w:val="en-US" w:eastAsia="zh-CN"/>
        </w:rPr>
      </w:pPr>
      <w:r>
        <w:rPr>
          <w:rFonts w:hint="eastAsia" w:eastAsia="宋体" w:cs="Times New Roman"/>
          <w:b w:val="0"/>
          <w:bCs w:val="0"/>
          <w:i w:val="0"/>
          <w:iCs w:val="0"/>
          <w:color w:val="auto"/>
          <w:sz w:val="20"/>
          <w:szCs w:val="22"/>
          <w:highlight w:val="none"/>
          <w:lang w:val="en-US" w:eastAsia="zh-CN"/>
        </w:rPr>
        <w:t xml:space="preserve">In last meeting, </w:t>
      </w:r>
      <w:r>
        <w:rPr>
          <w:rFonts w:hint="eastAsia" w:eastAsia="宋体" w:cs="Times New Roman"/>
          <w:i w:val="0"/>
          <w:iCs w:val="0"/>
          <w:color w:val="auto"/>
          <w:sz w:val="20"/>
          <w:szCs w:val="22"/>
          <w:highlight w:val="none"/>
          <w:lang w:val="en-US" w:eastAsia="zh-CN"/>
        </w:rPr>
        <w:t>PC2</w:t>
      </w:r>
      <w:r>
        <w:rPr>
          <w:rFonts w:hint="eastAsia" w:ascii="Times New Roman" w:hAnsi="Times New Roman" w:eastAsia="宋体" w:cs="Times New Roman"/>
          <w:i w:val="0"/>
          <w:iCs w:val="0"/>
          <w:color w:val="auto"/>
          <w:sz w:val="20"/>
          <w:szCs w:val="22"/>
          <w:highlight w:val="none"/>
          <w:lang w:val="en-US" w:eastAsia="zh-CN"/>
        </w:rPr>
        <w:t xml:space="preserve"> NR </w:t>
      </w:r>
      <w:r>
        <w:rPr>
          <w:rFonts w:hint="eastAsia" w:eastAsia="宋体" w:cs="Times New Roman"/>
          <w:i w:val="0"/>
          <w:iCs w:val="0"/>
          <w:color w:val="auto"/>
          <w:sz w:val="20"/>
          <w:szCs w:val="22"/>
          <w:highlight w:val="none"/>
          <w:lang w:val="en-US" w:eastAsia="zh-CN"/>
        </w:rPr>
        <w:t xml:space="preserve">TDD </w:t>
      </w:r>
      <w:r>
        <w:rPr>
          <w:rFonts w:hint="eastAsia" w:ascii="Times New Roman" w:hAnsi="Times New Roman" w:eastAsia="宋体" w:cs="Times New Roman"/>
          <w:i w:val="0"/>
          <w:iCs w:val="0"/>
          <w:color w:val="auto"/>
          <w:sz w:val="20"/>
          <w:szCs w:val="22"/>
          <w:highlight w:val="none"/>
          <w:lang w:val="en-US" w:eastAsia="zh-CN"/>
        </w:rPr>
        <w:t>int</w:t>
      </w:r>
      <w:r>
        <w:rPr>
          <w:rFonts w:hint="eastAsia" w:eastAsia="宋体" w:cs="Times New Roman"/>
          <w:i w:val="0"/>
          <w:iCs w:val="0"/>
          <w:color w:val="auto"/>
          <w:sz w:val="20"/>
          <w:szCs w:val="22"/>
          <w:highlight w:val="none"/>
          <w:lang w:val="en-US" w:eastAsia="zh-CN"/>
        </w:rPr>
        <w:t>ra</w:t>
      </w:r>
      <w:r>
        <w:rPr>
          <w:rFonts w:hint="eastAsia" w:ascii="Times New Roman" w:hAnsi="Times New Roman" w:eastAsia="宋体" w:cs="Times New Roman"/>
          <w:i w:val="0"/>
          <w:iCs w:val="0"/>
          <w:color w:val="auto"/>
          <w:sz w:val="20"/>
          <w:szCs w:val="22"/>
          <w:highlight w:val="none"/>
          <w:lang w:val="en-US" w:eastAsia="zh-CN"/>
        </w:rPr>
        <w:t xml:space="preserve">-band </w:t>
      </w:r>
      <w:r>
        <w:rPr>
          <w:rFonts w:hint="eastAsia" w:eastAsia="宋体" w:cs="Times New Roman"/>
          <w:i w:val="0"/>
          <w:iCs w:val="0"/>
          <w:color w:val="auto"/>
          <w:sz w:val="20"/>
          <w:szCs w:val="22"/>
          <w:highlight w:val="none"/>
          <w:lang w:val="en-US" w:eastAsia="zh-CN"/>
        </w:rPr>
        <w:t xml:space="preserve">contiguous UL </w:t>
      </w:r>
      <w:r>
        <w:rPr>
          <w:rFonts w:hint="eastAsia" w:ascii="Times New Roman" w:hAnsi="Times New Roman" w:eastAsia="宋体" w:cs="Times New Roman"/>
          <w:i w:val="0"/>
          <w:iCs w:val="0"/>
          <w:color w:val="auto"/>
          <w:sz w:val="20"/>
          <w:szCs w:val="22"/>
          <w:highlight w:val="none"/>
          <w:lang w:val="en-US" w:eastAsia="zh-CN"/>
        </w:rPr>
        <w:t>CA</w:t>
      </w:r>
      <w:r>
        <w:rPr>
          <w:rFonts w:hint="eastAsia" w:eastAsia="宋体" w:cs="Times New Roman"/>
          <w:i w:val="0"/>
          <w:iCs w:val="0"/>
          <w:color w:val="auto"/>
          <w:sz w:val="20"/>
          <w:szCs w:val="22"/>
          <w:highlight w:val="none"/>
          <w:lang w:val="en-US" w:eastAsia="zh-CN"/>
        </w:rPr>
        <w:t xml:space="preserve"> had been discussed and some agreements were reached in the WF[2][3]:</w:t>
      </w:r>
    </w:p>
    <w:p>
      <w:pPr>
        <w:keepNext/>
        <w:keepLines/>
        <w:pageBreakBefore w:val="0"/>
        <w:widowControl w:val="0"/>
        <w:numPr>
          <w:ilvl w:val="0"/>
          <w:numId w:val="16"/>
        </w:numPr>
        <w:kinsoku/>
        <w:wordWrap/>
        <w:overflowPunct/>
        <w:topLinePunct w:val="0"/>
        <w:autoSpaceDE/>
        <w:autoSpaceDN/>
        <w:bidi w:val="0"/>
        <w:adjustRightInd/>
        <w:snapToGrid/>
        <w:spacing w:after="120"/>
        <w:ind w:left="420" w:leftChars="0" w:hanging="420"/>
        <w:textAlignment w:val="auto"/>
        <w:outlineLvl w:val="9"/>
        <w:rPr>
          <w:rFonts w:hint="eastAsia" w:eastAsia="宋体" w:cs="Times New Roman"/>
          <w:i w:val="0"/>
          <w:iCs w:val="0"/>
          <w:color w:val="auto"/>
          <w:sz w:val="20"/>
          <w:szCs w:val="22"/>
          <w:highlight w:val="none"/>
          <w:lang w:val="en-US" w:eastAsia="zh-CN"/>
        </w:rPr>
      </w:pPr>
      <w:r>
        <w:rPr>
          <w:rFonts w:hint="eastAsia" w:eastAsia="宋体" w:cs="Times New Roman"/>
          <w:i w:val="0"/>
          <w:iCs w:val="0"/>
          <w:color w:val="auto"/>
          <w:sz w:val="20"/>
          <w:szCs w:val="22"/>
          <w:highlight w:val="none"/>
          <w:lang w:val="en-US" w:eastAsia="zh-CN"/>
        </w:rPr>
        <w:t>Define tolerance for power class 2 ：26dBm +2/-3dB, regardless of RF architecture</w:t>
      </w:r>
    </w:p>
    <w:p>
      <w:pPr>
        <w:keepNext/>
        <w:keepLines/>
        <w:pageBreakBefore w:val="0"/>
        <w:widowControl w:val="0"/>
        <w:numPr>
          <w:ilvl w:val="0"/>
          <w:numId w:val="16"/>
        </w:numPr>
        <w:kinsoku/>
        <w:wordWrap/>
        <w:overflowPunct/>
        <w:topLinePunct w:val="0"/>
        <w:autoSpaceDE/>
        <w:autoSpaceDN/>
        <w:bidi w:val="0"/>
        <w:adjustRightInd/>
        <w:snapToGrid/>
        <w:spacing w:after="120"/>
        <w:ind w:left="420" w:leftChars="0" w:hanging="420"/>
        <w:textAlignment w:val="auto"/>
        <w:outlineLvl w:val="9"/>
        <w:rPr>
          <w:rFonts w:hint="eastAsia" w:eastAsia="宋体" w:cs="Times New Roman"/>
          <w:i w:val="0"/>
          <w:iCs w:val="0"/>
          <w:color w:val="auto"/>
          <w:sz w:val="20"/>
          <w:szCs w:val="22"/>
          <w:highlight w:val="none"/>
          <w:lang w:val="en-US" w:eastAsia="zh-CN"/>
        </w:rPr>
      </w:pPr>
      <w:r>
        <w:rPr>
          <w:rFonts w:hint="eastAsia" w:eastAsia="宋体" w:cs="Times New Roman"/>
          <w:i w:val="0"/>
          <w:iCs w:val="0"/>
          <w:color w:val="auto"/>
          <w:sz w:val="20"/>
          <w:szCs w:val="22"/>
          <w:highlight w:val="none"/>
          <w:lang w:val="en-US" w:eastAsia="zh-CN"/>
        </w:rPr>
        <w:t>ACLR requirement: 31dB</w:t>
      </w:r>
    </w:p>
    <w:p>
      <w:pPr>
        <w:keepNext/>
        <w:keepLines/>
        <w:pageBreakBefore w:val="0"/>
        <w:widowControl w:val="0"/>
        <w:numPr>
          <w:ilvl w:val="0"/>
          <w:numId w:val="16"/>
        </w:numPr>
        <w:kinsoku/>
        <w:wordWrap/>
        <w:overflowPunct/>
        <w:topLinePunct w:val="0"/>
        <w:autoSpaceDE/>
        <w:autoSpaceDN/>
        <w:bidi w:val="0"/>
        <w:adjustRightInd/>
        <w:snapToGrid/>
        <w:spacing w:after="120"/>
        <w:ind w:left="420" w:leftChars="0" w:hanging="420"/>
        <w:textAlignment w:val="auto"/>
        <w:outlineLvl w:val="9"/>
        <w:rPr>
          <w:rFonts w:hint="eastAsia" w:eastAsia="宋体" w:cs="Times New Roman"/>
          <w:i w:val="0"/>
          <w:iCs w:val="0"/>
          <w:color w:val="auto"/>
          <w:sz w:val="20"/>
          <w:szCs w:val="22"/>
          <w:highlight w:val="none"/>
          <w:lang w:val="en-US" w:eastAsia="zh-CN"/>
        </w:rPr>
      </w:pPr>
      <w:r>
        <w:rPr>
          <w:rFonts w:hint="eastAsia" w:eastAsia="宋体" w:cs="Times New Roman"/>
          <w:i w:val="0"/>
          <w:iCs w:val="0"/>
          <w:color w:val="auto"/>
          <w:sz w:val="20"/>
          <w:szCs w:val="22"/>
          <w:highlight w:val="none"/>
          <w:lang w:val="en-US" w:eastAsia="zh-CN"/>
        </w:rPr>
        <w:t>Emission requirement: reuse SEM, general spurious, ASEM, ASE and UE-to-UE coexistence requirements defined for PC3</w:t>
      </w:r>
    </w:p>
    <w:p>
      <w:pPr>
        <w:keepNext/>
        <w:keepLines/>
        <w:pageBreakBefore w:val="0"/>
        <w:widowControl w:val="0"/>
        <w:numPr>
          <w:ilvl w:val="0"/>
          <w:numId w:val="16"/>
        </w:numPr>
        <w:kinsoku/>
        <w:wordWrap/>
        <w:overflowPunct/>
        <w:topLinePunct w:val="0"/>
        <w:autoSpaceDE/>
        <w:autoSpaceDN/>
        <w:bidi w:val="0"/>
        <w:adjustRightInd/>
        <w:snapToGrid/>
        <w:spacing w:after="120"/>
        <w:ind w:left="420" w:leftChars="0" w:hanging="420"/>
        <w:textAlignment w:val="auto"/>
        <w:outlineLvl w:val="9"/>
        <w:rPr>
          <w:rFonts w:hint="eastAsia" w:eastAsia="宋体" w:cs="Times New Roman"/>
          <w:i w:val="0"/>
          <w:iCs w:val="0"/>
          <w:color w:val="auto"/>
          <w:sz w:val="20"/>
          <w:szCs w:val="22"/>
          <w:highlight w:val="none"/>
          <w:lang w:val="en-US" w:eastAsia="zh-CN"/>
        </w:rPr>
      </w:pPr>
      <w:r>
        <w:rPr>
          <w:rFonts w:hint="eastAsia" w:eastAsia="宋体" w:cs="Times New Roman"/>
          <w:i w:val="0"/>
          <w:iCs w:val="0"/>
          <w:color w:val="auto"/>
          <w:sz w:val="20"/>
          <w:szCs w:val="22"/>
          <w:highlight w:val="none"/>
          <w:lang w:val="en-US" w:eastAsia="zh-CN"/>
        </w:rPr>
        <w:t>UL/DL configuration: adopt the same UL/DL configuration between CCs</w:t>
      </w:r>
    </w:p>
    <w:p>
      <w:pPr>
        <w:keepNext/>
        <w:keepLines/>
        <w:pageBreakBefore w:val="0"/>
        <w:widowControl w:val="0"/>
        <w:numPr>
          <w:ilvl w:val="0"/>
          <w:numId w:val="16"/>
        </w:numPr>
        <w:kinsoku/>
        <w:wordWrap/>
        <w:overflowPunct/>
        <w:topLinePunct w:val="0"/>
        <w:autoSpaceDE/>
        <w:autoSpaceDN/>
        <w:bidi w:val="0"/>
        <w:adjustRightInd/>
        <w:snapToGrid/>
        <w:spacing w:after="120"/>
        <w:ind w:left="420" w:leftChars="0" w:hanging="420"/>
        <w:textAlignment w:val="auto"/>
        <w:outlineLvl w:val="9"/>
        <w:rPr>
          <w:rFonts w:hint="eastAsia" w:eastAsia="宋体" w:cs="Times New Roman"/>
          <w:i w:val="0"/>
          <w:iCs w:val="0"/>
          <w:color w:val="auto"/>
          <w:sz w:val="20"/>
          <w:szCs w:val="22"/>
          <w:highlight w:val="none"/>
          <w:lang w:val="en-US" w:eastAsia="zh-CN"/>
        </w:rPr>
      </w:pPr>
      <w:r>
        <w:rPr>
          <w:rFonts w:hint="eastAsia" w:eastAsia="宋体" w:cs="Times New Roman"/>
          <w:i w:val="0"/>
          <w:iCs w:val="0"/>
          <w:color w:val="auto"/>
          <w:sz w:val="20"/>
          <w:szCs w:val="22"/>
          <w:highlight w:val="none"/>
          <w:lang w:val="en-US" w:eastAsia="zh-CN"/>
        </w:rPr>
        <w:t>Pcmax:  Use the same power class fallback mechanism as for single carrier</w:t>
      </w:r>
    </w:p>
    <w:p>
      <w:pPr>
        <w:keepNext/>
        <w:keepLines/>
        <w:pageBreakBefore w:val="0"/>
        <w:widowControl w:val="0"/>
        <w:numPr>
          <w:ilvl w:val="0"/>
          <w:numId w:val="16"/>
        </w:numPr>
        <w:kinsoku/>
        <w:wordWrap/>
        <w:overflowPunct/>
        <w:topLinePunct w:val="0"/>
        <w:autoSpaceDE/>
        <w:autoSpaceDN/>
        <w:bidi w:val="0"/>
        <w:adjustRightInd/>
        <w:snapToGrid/>
        <w:spacing w:after="120"/>
        <w:ind w:left="420" w:leftChars="0" w:hanging="420"/>
        <w:textAlignment w:val="auto"/>
        <w:outlineLvl w:val="9"/>
        <w:rPr>
          <w:rFonts w:hint="eastAsia" w:eastAsia="宋体" w:cs="Times New Roman"/>
          <w:i w:val="0"/>
          <w:iCs w:val="0"/>
          <w:color w:val="auto"/>
          <w:sz w:val="20"/>
          <w:szCs w:val="22"/>
          <w:highlight w:val="none"/>
          <w:lang w:val="en-US" w:eastAsia="zh-CN"/>
        </w:rPr>
      </w:pPr>
      <w:r>
        <w:rPr>
          <w:rFonts w:hint="eastAsia" w:eastAsia="宋体" w:cs="Times New Roman"/>
          <w:i w:val="0"/>
          <w:iCs w:val="0"/>
          <w:color w:val="auto"/>
          <w:sz w:val="20"/>
          <w:szCs w:val="22"/>
          <w:highlight w:val="none"/>
          <w:lang w:val="en-US" w:eastAsia="zh-CN"/>
        </w:rPr>
        <w:t>Capability of MaxUplinkDutyCycle: Reuse the capability for single carrier case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color w:val="auto"/>
          <w:sz w:val="20"/>
          <w:szCs w:val="22"/>
          <w:highlight w:val="none"/>
          <w:lang w:val="en-US" w:eastAsia="zh-CN"/>
        </w:rPr>
      </w:pPr>
      <w:r>
        <w:rPr>
          <w:rFonts w:hint="eastAsia" w:eastAsia="宋体" w:cs="Times New Roman"/>
          <w:i w:val="0"/>
          <w:iCs w:val="0"/>
          <w:color w:val="auto"/>
          <w:sz w:val="20"/>
          <w:szCs w:val="22"/>
          <w:highlight w:val="none"/>
          <w:lang w:val="en-US" w:eastAsia="zh-CN"/>
        </w:rPr>
        <w:t>We think the discussion of PC2</w:t>
      </w:r>
      <w:r>
        <w:rPr>
          <w:rFonts w:hint="eastAsia" w:ascii="Times New Roman" w:hAnsi="Times New Roman" w:eastAsia="宋体" w:cs="Times New Roman"/>
          <w:i w:val="0"/>
          <w:iCs w:val="0"/>
          <w:color w:val="auto"/>
          <w:sz w:val="20"/>
          <w:szCs w:val="22"/>
          <w:highlight w:val="none"/>
          <w:lang w:val="en-US" w:eastAsia="zh-CN"/>
        </w:rPr>
        <w:t xml:space="preserve"> NR </w:t>
      </w:r>
      <w:r>
        <w:rPr>
          <w:rFonts w:hint="eastAsia" w:eastAsia="宋体" w:cs="Times New Roman"/>
          <w:i w:val="0"/>
          <w:iCs w:val="0"/>
          <w:color w:val="auto"/>
          <w:sz w:val="20"/>
          <w:szCs w:val="22"/>
          <w:highlight w:val="none"/>
          <w:lang w:val="en-US" w:eastAsia="zh-CN"/>
        </w:rPr>
        <w:t xml:space="preserve">TDD </w:t>
      </w:r>
      <w:r>
        <w:rPr>
          <w:rFonts w:hint="eastAsia" w:ascii="Times New Roman" w:hAnsi="Times New Roman" w:eastAsia="宋体" w:cs="Times New Roman"/>
          <w:i w:val="0"/>
          <w:iCs w:val="0"/>
          <w:color w:val="auto"/>
          <w:sz w:val="20"/>
          <w:szCs w:val="22"/>
          <w:highlight w:val="none"/>
          <w:lang w:val="en-US" w:eastAsia="zh-CN"/>
        </w:rPr>
        <w:t>int</w:t>
      </w:r>
      <w:r>
        <w:rPr>
          <w:rFonts w:hint="eastAsia" w:eastAsia="宋体" w:cs="Times New Roman"/>
          <w:i w:val="0"/>
          <w:iCs w:val="0"/>
          <w:color w:val="auto"/>
          <w:sz w:val="20"/>
          <w:szCs w:val="22"/>
          <w:highlight w:val="none"/>
          <w:lang w:val="en-US" w:eastAsia="zh-CN"/>
        </w:rPr>
        <w:t>ra</w:t>
      </w:r>
      <w:r>
        <w:rPr>
          <w:rFonts w:hint="eastAsia" w:ascii="Times New Roman" w:hAnsi="Times New Roman" w:eastAsia="宋体" w:cs="Times New Roman"/>
          <w:i w:val="0"/>
          <w:iCs w:val="0"/>
          <w:color w:val="auto"/>
          <w:sz w:val="20"/>
          <w:szCs w:val="22"/>
          <w:highlight w:val="none"/>
          <w:lang w:val="en-US" w:eastAsia="zh-CN"/>
        </w:rPr>
        <w:t xml:space="preserve">-band </w:t>
      </w:r>
      <w:r>
        <w:rPr>
          <w:rFonts w:hint="eastAsia" w:eastAsia="宋体" w:cs="Times New Roman"/>
          <w:i w:val="0"/>
          <w:iCs w:val="0"/>
          <w:color w:val="auto"/>
          <w:sz w:val="20"/>
          <w:szCs w:val="22"/>
          <w:highlight w:val="none"/>
          <w:lang w:val="en-US" w:eastAsia="zh-CN"/>
        </w:rPr>
        <w:t xml:space="preserve">non-contiguous UL </w:t>
      </w:r>
      <w:r>
        <w:rPr>
          <w:rFonts w:hint="eastAsia" w:ascii="Times New Roman" w:hAnsi="Times New Roman" w:eastAsia="宋体" w:cs="Times New Roman"/>
          <w:i w:val="0"/>
          <w:iCs w:val="0"/>
          <w:color w:val="auto"/>
          <w:sz w:val="20"/>
          <w:szCs w:val="22"/>
          <w:highlight w:val="none"/>
          <w:lang w:val="en-US" w:eastAsia="zh-CN"/>
        </w:rPr>
        <w:t>CA</w:t>
      </w:r>
      <w:r>
        <w:rPr>
          <w:rFonts w:hint="eastAsia" w:eastAsia="宋体" w:cs="Times New Roman"/>
          <w:i w:val="0"/>
          <w:iCs w:val="0"/>
          <w:color w:val="auto"/>
          <w:sz w:val="20"/>
          <w:szCs w:val="22"/>
          <w:highlight w:val="none"/>
          <w:lang w:val="en-US" w:eastAsia="zh-CN"/>
        </w:rPr>
        <w:t xml:space="preserve"> are similar with PC2</w:t>
      </w:r>
      <w:r>
        <w:rPr>
          <w:rFonts w:hint="eastAsia" w:ascii="Times New Roman" w:hAnsi="Times New Roman" w:eastAsia="宋体" w:cs="Times New Roman"/>
          <w:i w:val="0"/>
          <w:iCs w:val="0"/>
          <w:color w:val="auto"/>
          <w:sz w:val="20"/>
          <w:szCs w:val="22"/>
          <w:highlight w:val="none"/>
          <w:lang w:val="en-US" w:eastAsia="zh-CN"/>
        </w:rPr>
        <w:t xml:space="preserve"> NR </w:t>
      </w:r>
      <w:r>
        <w:rPr>
          <w:rFonts w:hint="eastAsia" w:eastAsia="宋体" w:cs="Times New Roman"/>
          <w:i w:val="0"/>
          <w:iCs w:val="0"/>
          <w:color w:val="auto"/>
          <w:sz w:val="20"/>
          <w:szCs w:val="22"/>
          <w:highlight w:val="none"/>
          <w:lang w:val="en-US" w:eastAsia="zh-CN"/>
        </w:rPr>
        <w:t xml:space="preserve">TDD </w:t>
      </w:r>
      <w:r>
        <w:rPr>
          <w:rFonts w:hint="eastAsia" w:ascii="Times New Roman" w:hAnsi="Times New Roman" w:eastAsia="宋体" w:cs="Times New Roman"/>
          <w:i w:val="0"/>
          <w:iCs w:val="0"/>
          <w:color w:val="auto"/>
          <w:sz w:val="20"/>
          <w:szCs w:val="22"/>
          <w:highlight w:val="none"/>
          <w:lang w:val="en-US" w:eastAsia="zh-CN"/>
        </w:rPr>
        <w:t>int</w:t>
      </w:r>
      <w:r>
        <w:rPr>
          <w:rFonts w:hint="eastAsia" w:eastAsia="宋体" w:cs="Times New Roman"/>
          <w:i w:val="0"/>
          <w:iCs w:val="0"/>
          <w:color w:val="auto"/>
          <w:sz w:val="20"/>
          <w:szCs w:val="22"/>
          <w:highlight w:val="none"/>
          <w:lang w:val="en-US" w:eastAsia="zh-CN"/>
        </w:rPr>
        <w:t>ra</w:t>
      </w:r>
      <w:r>
        <w:rPr>
          <w:rFonts w:hint="eastAsia" w:ascii="Times New Roman" w:hAnsi="Times New Roman" w:eastAsia="宋体" w:cs="Times New Roman"/>
          <w:i w:val="0"/>
          <w:iCs w:val="0"/>
          <w:color w:val="auto"/>
          <w:sz w:val="20"/>
          <w:szCs w:val="22"/>
          <w:highlight w:val="none"/>
          <w:lang w:val="en-US" w:eastAsia="zh-CN"/>
        </w:rPr>
        <w:t xml:space="preserve">-band </w:t>
      </w:r>
      <w:r>
        <w:rPr>
          <w:rFonts w:hint="eastAsia" w:eastAsia="宋体" w:cs="Times New Roman"/>
          <w:i w:val="0"/>
          <w:iCs w:val="0"/>
          <w:color w:val="auto"/>
          <w:sz w:val="20"/>
          <w:szCs w:val="22"/>
          <w:highlight w:val="none"/>
          <w:lang w:val="en-US" w:eastAsia="zh-CN"/>
        </w:rPr>
        <w:t xml:space="preserve">contiguous UL </w:t>
      </w:r>
      <w:r>
        <w:rPr>
          <w:rFonts w:hint="eastAsia" w:ascii="Times New Roman" w:hAnsi="Times New Roman" w:eastAsia="宋体" w:cs="Times New Roman"/>
          <w:i w:val="0"/>
          <w:iCs w:val="0"/>
          <w:color w:val="auto"/>
          <w:sz w:val="20"/>
          <w:szCs w:val="22"/>
          <w:highlight w:val="none"/>
          <w:lang w:val="en-US" w:eastAsia="zh-CN"/>
        </w:rPr>
        <w:t>CA</w:t>
      </w:r>
      <w:r>
        <w:rPr>
          <w:rFonts w:hint="eastAsia" w:eastAsia="宋体" w:cs="Times New Roman"/>
          <w:i w:val="0"/>
          <w:iCs w:val="0"/>
          <w:color w:val="auto"/>
          <w:sz w:val="20"/>
          <w:szCs w:val="22"/>
          <w:highlight w:val="none"/>
          <w:lang w:val="en-US" w:eastAsia="zh-CN"/>
        </w:rPr>
        <w:t>, the difference are the MPR/A-MPR and requirements in the sub-block gap. Even some of the above agreements PC2</w:t>
      </w:r>
      <w:r>
        <w:rPr>
          <w:rFonts w:hint="eastAsia" w:ascii="Times New Roman" w:hAnsi="Times New Roman" w:eastAsia="宋体" w:cs="Times New Roman"/>
          <w:i w:val="0"/>
          <w:iCs w:val="0"/>
          <w:color w:val="auto"/>
          <w:sz w:val="20"/>
          <w:szCs w:val="22"/>
          <w:highlight w:val="none"/>
          <w:lang w:val="en-US" w:eastAsia="zh-CN"/>
        </w:rPr>
        <w:t xml:space="preserve"> NR </w:t>
      </w:r>
      <w:r>
        <w:rPr>
          <w:rFonts w:hint="eastAsia" w:eastAsia="宋体" w:cs="Times New Roman"/>
          <w:i w:val="0"/>
          <w:iCs w:val="0"/>
          <w:color w:val="auto"/>
          <w:sz w:val="20"/>
          <w:szCs w:val="22"/>
          <w:highlight w:val="none"/>
          <w:lang w:val="en-US" w:eastAsia="zh-CN"/>
        </w:rPr>
        <w:t xml:space="preserve">TDD </w:t>
      </w:r>
      <w:r>
        <w:rPr>
          <w:rFonts w:hint="eastAsia" w:ascii="Times New Roman" w:hAnsi="Times New Roman" w:eastAsia="宋体" w:cs="Times New Roman"/>
          <w:i w:val="0"/>
          <w:iCs w:val="0"/>
          <w:color w:val="auto"/>
          <w:sz w:val="20"/>
          <w:szCs w:val="22"/>
          <w:highlight w:val="none"/>
          <w:lang w:val="en-US" w:eastAsia="zh-CN"/>
        </w:rPr>
        <w:t>int</w:t>
      </w:r>
      <w:r>
        <w:rPr>
          <w:rFonts w:hint="eastAsia" w:eastAsia="宋体" w:cs="Times New Roman"/>
          <w:i w:val="0"/>
          <w:iCs w:val="0"/>
          <w:color w:val="auto"/>
          <w:sz w:val="20"/>
          <w:szCs w:val="22"/>
          <w:highlight w:val="none"/>
          <w:lang w:val="en-US" w:eastAsia="zh-CN"/>
        </w:rPr>
        <w:t>ra</w:t>
      </w:r>
      <w:r>
        <w:rPr>
          <w:rFonts w:hint="eastAsia" w:ascii="Times New Roman" w:hAnsi="Times New Roman" w:eastAsia="宋体" w:cs="Times New Roman"/>
          <w:i w:val="0"/>
          <w:iCs w:val="0"/>
          <w:color w:val="auto"/>
          <w:sz w:val="20"/>
          <w:szCs w:val="22"/>
          <w:highlight w:val="none"/>
          <w:lang w:val="en-US" w:eastAsia="zh-CN"/>
        </w:rPr>
        <w:t xml:space="preserve">-band </w:t>
      </w:r>
      <w:r>
        <w:rPr>
          <w:rFonts w:hint="eastAsia" w:eastAsia="宋体" w:cs="Times New Roman"/>
          <w:i w:val="0"/>
          <w:iCs w:val="0"/>
          <w:color w:val="auto"/>
          <w:sz w:val="20"/>
          <w:szCs w:val="22"/>
          <w:highlight w:val="none"/>
          <w:lang w:val="en-US" w:eastAsia="zh-CN"/>
        </w:rPr>
        <w:t xml:space="preserve">contiguous UL </w:t>
      </w:r>
      <w:r>
        <w:rPr>
          <w:rFonts w:hint="eastAsia" w:ascii="Times New Roman" w:hAnsi="Times New Roman" w:eastAsia="宋体" w:cs="Times New Roman"/>
          <w:i w:val="0"/>
          <w:iCs w:val="0"/>
          <w:color w:val="auto"/>
          <w:sz w:val="20"/>
          <w:szCs w:val="22"/>
          <w:highlight w:val="none"/>
          <w:lang w:val="en-US" w:eastAsia="zh-CN"/>
        </w:rPr>
        <w:t>CA</w:t>
      </w:r>
      <w:r>
        <w:rPr>
          <w:rFonts w:hint="eastAsia" w:eastAsia="宋体" w:cs="Times New Roman"/>
          <w:i w:val="0"/>
          <w:iCs w:val="0"/>
          <w:color w:val="auto"/>
          <w:sz w:val="20"/>
          <w:szCs w:val="22"/>
          <w:highlight w:val="none"/>
          <w:lang w:val="en-US" w:eastAsia="zh-CN"/>
        </w:rPr>
        <w:t xml:space="preserve"> can be re-used for PC2</w:t>
      </w:r>
      <w:r>
        <w:rPr>
          <w:rFonts w:hint="eastAsia" w:ascii="Times New Roman" w:hAnsi="Times New Roman" w:eastAsia="宋体" w:cs="Times New Roman"/>
          <w:i w:val="0"/>
          <w:iCs w:val="0"/>
          <w:color w:val="auto"/>
          <w:sz w:val="20"/>
          <w:szCs w:val="22"/>
          <w:highlight w:val="none"/>
          <w:lang w:val="en-US" w:eastAsia="zh-CN"/>
        </w:rPr>
        <w:t xml:space="preserve"> NR </w:t>
      </w:r>
      <w:r>
        <w:rPr>
          <w:rFonts w:hint="eastAsia" w:eastAsia="宋体" w:cs="Times New Roman"/>
          <w:i w:val="0"/>
          <w:iCs w:val="0"/>
          <w:color w:val="auto"/>
          <w:sz w:val="20"/>
          <w:szCs w:val="22"/>
          <w:highlight w:val="none"/>
          <w:lang w:val="en-US" w:eastAsia="zh-CN"/>
        </w:rPr>
        <w:t xml:space="preserve">TDD </w:t>
      </w:r>
      <w:r>
        <w:rPr>
          <w:rFonts w:hint="eastAsia" w:ascii="Times New Roman" w:hAnsi="Times New Roman" w:eastAsia="宋体" w:cs="Times New Roman"/>
          <w:i w:val="0"/>
          <w:iCs w:val="0"/>
          <w:color w:val="auto"/>
          <w:sz w:val="20"/>
          <w:szCs w:val="22"/>
          <w:highlight w:val="none"/>
          <w:lang w:val="en-US" w:eastAsia="zh-CN"/>
        </w:rPr>
        <w:t>int</w:t>
      </w:r>
      <w:r>
        <w:rPr>
          <w:rFonts w:hint="eastAsia" w:eastAsia="宋体" w:cs="Times New Roman"/>
          <w:i w:val="0"/>
          <w:iCs w:val="0"/>
          <w:color w:val="auto"/>
          <w:sz w:val="20"/>
          <w:szCs w:val="22"/>
          <w:highlight w:val="none"/>
          <w:lang w:val="en-US" w:eastAsia="zh-CN"/>
        </w:rPr>
        <w:t>ra</w:t>
      </w:r>
      <w:r>
        <w:rPr>
          <w:rFonts w:hint="eastAsia" w:ascii="Times New Roman" w:hAnsi="Times New Roman" w:eastAsia="宋体" w:cs="Times New Roman"/>
          <w:i w:val="0"/>
          <w:iCs w:val="0"/>
          <w:color w:val="auto"/>
          <w:sz w:val="20"/>
          <w:szCs w:val="22"/>
          <w:highlight w:val="none"/>
          <w:lang w:val="en-US" w:eastAsia="zh-CN"/>
        </w:rPr>
        <w:t xml:space="preserve">-band </w:t>
      </w:r>
      <w:r>
        <w:rPr>
          <w:rFonts w:hint="eastAsia" w:eastAsia="宋体" w:cs="Times New Roman"/>
          <w:i w:val="0"/>
          <w:iCs w:val="0"/>
          <w:color w:val="auto"/>
          <w:sz w:val="20"/>
          <w:szCs w:val="22"/>
          <w:highlight w:val="none"/>
          <w:lang w:val="en-US" w:eastAsia="zh-CN"/>
        </w:rPr>
        <w:t xml:space="preserve">non-contiguous UL </w:t>
      </w:r>
      <w:r>
        <w:rPr>
          <w:rFonts w:hint="eastAsia" w:ascii="Times New Roman" w:hAnsi="Times New Roman" w:eastAsia="宋体" w:cs="Times New Roman"/>
          <w:i w:val="0"/>
          <w:iCs w:val="0"/>
          <w:color w:val="auto"/>
          <w:sz w:val="20"/>
          <w:szCs w:val="22"/>
          <w:highlight w:val="none"/>
          <w:lang w:val="en-US" w:eastAsia="zh-CN"/>
        </w:rPr>
        <w:t>CA</w:t>
      </w:r>
      <w:r>
        <w:rPr>
          <w:rFonts w:hint="eastAsia" w:eastAsia="宋体" w:cs="Times New Roman"/>
          <w:i w:val="0"/>
          <w:iCs w:val="0"/>
          <w:color w:val="auto"/>
          <w:sz w:val="20"/>
          <w:szCs w:val="22"/>
          <w:highlight w:val="none"/>
          <w:lang w:val="en-US" w:eastAsia="zh-CN"/>
        </w:rPr>
        <w:t>.</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1"/>
        <w:rPr>
          <w:rFonts w:hint="default" w:ascii="Times New Roman" w:hAnsi="Times New Roman" w:eastAsia="宋体" w:cs="Times New Roman"/>
          <w:b/>
          <w:bCs/>
          <w:i w:val="0"/>
          <w:iCs w:val="0"/>
          <w:color w:val="auto"/>
          <w:sz w:val="20"/>
          <w:szCs w:val="22"/>
          <w:highlight w:val="none"/>
          <w:lang w:val="en-US" w:eastAsia="zh-CN"/>
        </w:rPr>
      </w:pPr>
      <w:r>
        <w:rPr>
          <w:rFonts w:hint="eastAsia" w:ascii="Times New Roman" w:hAnsi="Times New Roman" w:eastAsia="宋体" w:cs="Times New Roman"/>
          <w:b/>
          <w:bCs/>
          <w:i w:val="0"/>
          <w:iCs w:val="0"/>
          <w:color w:val="auto"/>
          <w:sz w:val="20"/>
          <w:szCs w:val="22"/>
          <w:highlight w:val="none"/>
          <w:lang w:val="en-US" w:eastAsia="zh-CN"/>
        </w:rPr>
        <w:t>2.</w:t>
      </w:r>
      <w:r>
        <w:rPr>
          <w:rFonts w:hint="eastAsia" w:eastAsia="宋体" w:cs="Times New Roman"/>
          <w:b/>
          <w:bCs/>
          <w:i w:val="0"/>
          <w:iCs w:val="0"/>
          <w:color w:val="auto"/>
          <w:sz w:val="20"/>
          <w:szCs w:val="22"/>
          <w:highlight w:val="none"/>
          <w:lang w:val="en-US" w:eastAsia="zh-CN"/>
        </w:rPr>
        <w:t>1</w:t>
      </w:r>
      <w:r>
        <w:rPr>
          <w:rFonts w:hint="eastAsia" w:ascii="Times New Roman" w:hAnsi="Times New Roman" w:eastAsia="宋体" w:cs="Times New Roman"/>
          <w:b/>
          <w:bCs/>
          <w:i w:val="0"/>
          <w:iCs w:val="0"/>
          <w:color w:val="auto"/>
          <w:sz w:val="20"/>
          <w:szCs w:val="22"/>
          <w:highlight w:val="none"/>
          <w:lang w:val="en-US" w:eastAsia="zh-CN"/>
        </w:rPr>
        <w:t xml:space="preserve">  SAR </w:t>
      </w:r>
      <w:r>
        <w:rPr>
          <w:rFonts w:hint="eastAsia" w:eastAsia="宋体" w:cs="Times New Roman"/>
          <w:b/>
          <w:bCs/>
          <w:i w:val="0"/>
          <w:iCs w:val="0"/>
          <w:color w:val="auto"/>
          <w:sz w:val="20"/>
          <w:szCs w:val="22"/>
          <w:highlight w:val="none"/>
          <w:lang w:val="en-US" w:eastAsia="zh-CN"/>
        </w:rPr>
        <w:t>solution</w:t>
      </w:r>
    </w:p>
    <w:p>
      <w:pPr>
        <w:pStyle w:val="143"/>
        <w:spacing w:before="120"/>
        <w:rPr>
          <w:rFonts w:hint="default" w:ascii="Times New Roman" w:hAnsi="Times New Roman" w:eastAsia="宋体" w:cs="Times New Roman"/>
          <w:color w:val="auto"/>
          <w:sz w:val="20"/>
          <w:szCs w:val="22"/>
          <w:highlight w:val="none"/>
          <w:lang w:val="en-US" w:eastAsia="zh-CN"/>
        </w:rPr>
      </w:pPr>
      <w:r>
        <w:rPr>
          <w:rFonts w:hint="default" w:ascii="Times New Roman" w:hAnsi="Times New Roman" w:eastAsia="宋体" w:cs="Times New Roman"/>
          <w:i w:val="0"/>
          <w:iCs w:val="0"/>
          <w:color w:val="auto"/>
          <w:sz w:val="20"/>
          <w:szCs w:val="22"/>
          <w:highlight w:val="none"/>
          <w:lang w:val="en-US" w:eastAsia="zh-CN"/>
        </w:rPr>
        <w:t>For PC2 NR TDD intra-band contiguous UL CA, it was agreed that it is n</w:t>
      </w:r>
      <w:r>
        <w:rPr>
          <w:rFonts w:hint="default" w:ascii="Times New Roman" w:hAnsi="Times New Roman" w:eastAsia="宋体" w:cs="Times New Roman"/>
          <w:color w:val="auto"/>
          <w:sz w:val="20"/>
          <w:szCs w:val="22"/>
          <w:highlight w:val="none"/>
          <w:lang w:val="en-US" w:eastAsia="zh-CN"/>
        </w:rPr>
        <w:t>o need to consider different power class configuration of each CC in [3], and also according to the companies views, no objection on a</w:t>
      </w:r>
      <w:r>
        <w:rPr>
          <w:rFonts w:hint="default" w:ascii="Times New Roman" w:hAnsi="Times New Roman" w:eastAsia="宋体" w:cs="Times New Roman"/>
          <w:color w:val="auto"/>
          <w:sz w:val="20"/>
          <w:szCs w:val="22"/>
          <w:highlight w:val="none"/>
          <w:lang w:eastAsia="zh-CN"/>
        </w:rPr>
        <w:t>dopt</w:t>
      </w:r>
      <w:r>
        <w:rPr>
          <w:rFonts w:hint="default" w:ascii="Times New Roman" w:hAnsi="Times New Roman" w:eastAsia="宋体" w:cs="Times New Roman"/>
          <w:color w:val="auto"/>
          <w:sz w:val="20"/>
          <w:szCs w:val="22"/>
          <w:highlight w:val="none"/>
          <w:lang w:val="en-US" w:eastAsia="zh-CN"/>
        </w:rPr>
        <w:t>ing</w:t>
      </w:r>
      <w:r>
        <w:rPr>
          <w:rFonts w:hint="default" w:ascii="Times New Roman" w:hAnsi="Times New Roman" w:eastAsia="宋体" w:cs="Times New Roman"/>
          <w:color w:val="auto"/>
          <w:sz w:val="20"/>
          <w:szCs w:val="22"/>
          <w:highlight w:val="none"/>
          <w:lang w:eastAsia="zh-CN"/>
        </w:rPr>
        <w:t xml:space="preserve"> same UL/DL configuration and synchronized condition</w:t>
      </w:r>
      <w:r>
        <w:rPr>
          <w:rFonts w:hint="default" w:ascii="Times New Roman" w:hAnsi="Times New Roman" w:eastAsia="宋体" w:cs="Times New Roman"/>
          <w:color w:val="auto"/>
          <w:sz w:val="20"/>
          <w:szCs w:val="22"/>
          <w:highlight w:val="none"/>
          <w:lang w:val="en-US" w:eastAsia="zh-CN"/>
        </w:rPr>
        <w:t xml:space="preserve">. </w:t>
      </w:r>
    </w:p>
    <w:p>
      <w:pPr>
        <w:pStyle w:val="143"/>
        <w:numPr>
          <w:ilvl w:val="-1"/>
          <w:numId w:val="0"/>
        </w:numPr>
        <w:overflowPunct/>
        <w:autoSpaceDE/>
        <w:autoSpaceDN/>
        <w:adjustRightInd/>
        <w:spacing w:before="120" w:after="120"/>
        <w:ind w:left="0" w:firstLine="0" w:firstLineChars="0"/>
        <w:textAlignment w:val="auto"/>
        <w:rPr>
          <w:rFonts w:hint="default" w:ascii="Times New Roman" w:hAnsi="Times New Roman" w:cs="Times New Roman"/>
          <w:color w:val="auto"/>
          <w:sz w:val="20"/>
          <w:szCs w:val="22"/>
          <w:highlight w:val="none"/>
          <w:lang w:val="en-US" w:eastAsia="zh-CN"/>
        </w:rPr>
      </w:pPr>
      <w:r>
        <w:rPr>
          <w:rFonts w:hint="default" w:ascii="Times New Roman" w:hAnsi="Times New Roman" w:eastAsia="宋体" w:cs="Times New Roman"/>
          <w:color w:val="auto"/>
          <w:sz w:val="20"/>
          <w:szCs w:val="22"/>
          <w:highlight w:val="none"/>
          <w:lang w:val="en-US" w:eastAsia="zh-CN"/>
        </w:rPr>
        <w:t xml:space="preserve">Considering the power signalling (i.e. </w:t>
      </w:r>
      <w:r>
        <w:rPr>
          <w:rFonts w:ascii="Times New Roman" w:hAnsi="Times New Roman" w:cs="Times New Roman"/>
          <w:b w:val="0"/>
          <w:bCs/>
          <w:i/>
          <w:color w:val="auto"/>
          <w:sz w:val="20"/>
        </w:rPr>
        <w:t>powerClass, powerClass-v1610</w:t>
      </w:r>
      <w:r>
        <w:rPr>
          <w:rFonts w:hint="default" w:ascii="Times New Roman" w:hAnsi="Times New Roman" w:eastAsia="宋体" w:cs="Times New Roman"/>
          <w:color w:val="auto"/>
          <w:sz w:val="20"/>
          <w:szCs w:val="22"/>
          <w:highlight w:val="none"/>
          <w:lang w:val="en-US" w:eastAsia="zh-CN"/>
        </w:rPr>
        <w:t>)</w:t>
      </w:r>
      <w:r>
        <w:rPr>
          <w:rFonts w:hint="eastAsia" w:ascii="Times New Roman" w:hAnsi="Times New Roman" w:cs="Times New Roman"/>
          <w:color w:val="auto"/>
          <w:sz w:val="20"/>
          <w:szCs w:val="22"/>
          <w:highlight w:val="none"/>
          <w:lang w:val="en-US" w:eastAsia="zh-CN"/>
        </w:rPr>
        <w:t xml:space="preserve"> are reported per BC, we think the following two points of </w:t>
      </w:r>
      <w:r>
        <w:rPr>
          <w:rFonts w:hint="eastAsia" w:ascii="Times New Roman" w:hAnsi="Times New Roman" w:cs="Times New Roman"/>
          <w:i w:val="0"/>
          <w:iCs w:val="0"/>
          <w:color w:val="auto"/>
          <w:sz w:val="20"/>
          <w:szCs w:val="22"/>
          <w:highlight w:val="none"/>
          <w:lang w:val="en-US" w:eastAsia="zh-CN"/>
        </w:rPr>
        <w:t xml:space="preserve">PC2 TDD </w:t>
      </w:r>
      <w:r>
        <w:rPr>
          <w:rFonts w:hint="default" w:ascii="Times New Roman" w:hAnsi="Times New Roman" w:eastAsia="宋体" w:cs="Times New Roman"/>
          <w:i w:val="0"/>
          <w:iCs w:val="0"/>
          <w:color w:val="auto"/>
          <w:sz w:val="20"/>
          <w:szCs w:val="22"/>
          <w:highlight w:val="none"/>
          <w:lang w:val="en-US" w:eastAsia="zh-CN"/>
        </w:rPr>
        <w:t>intra-band contiguous UL CA</w:t>
      </w:r>
      <w:r>
        <w:rPr>
          <w:rFonts w:hint="eastAsia" w:ascii="Times New Roman" w:hAnsi="Times New Roman" w:cs="Times New Roman"/>
          <w:i w:val="0"/>
          <w:iCs w:val="0"/>
          <w:color w:val="auto"/>
          <w:sz w:val="20"/>
          <w:szCs w:val="22"/>
          <w:highlight w:val="none"/>
          <w:lang w:val="en-US" w:eastAsia="zh-CN"/>
        </w:rPr>
        <w:t xml:space="preserve"> </w:t>
      </w:r>
      <w:r>
        <w:rPr>
          <w:rFonts w:hint="eastAsia" w:ascii="Times New Roman" w:hAnsi="Times New Roman" w:cs="Times New Roman"/>
          <w:color w:val="auto"/>
          <w:sz w:val="20"/>
          <w:szCs w:val="22"/>
          <w:highlight w:val="none"/>
          <w:lang w:val="en-US" w:eastAsia="zh-CN"/>
        </w:rPr>
        <w:t xml:space="preserve">can be applied to </w:t>
      </w:r>
      <w:r>
        <w:rPr>
          <w:rFonts w:hint="default" w:ascii="Times New Roman" w:hAnsi="Times New Roman" w:eastAsia="宋体" w:cs="Times New Roman"/>
          <w:i w:val="0"/>
          <w:iCs w:val="0"/>
          <w:color w:val="auto"/>
          <w:sz w:val="20"/>
          <w:szCs w:val="22"/>
          <w:highlight w:val="none"/>
          <w:lang w:val="en-US" w:eastAsia="zh-CN"/>
        </w:rPr>
        <w:t xml:space="preserve">PC2 NR TDD intra-band </w:t>
      </w:r>
      <w:r>
        <w:rPr>
          <w:rFonts w:hint="eastAsia" w:ascii="Times New Roman" w:hAnsi="Times New Roman" w:cs="Times New Roman"/>
          <w:i w:val="0"/>
          <w:iCs w:val="0"/>
          <w:color w:val="auto"/>
          <w:sz w:val="20"/>
          <w:szCs w:val="22"/>
          <w:highlight w:val="none"/>
          <w:lang w:val="en-US" w:eastAsia="zh-CN"/>
        </w:rPr>
        <w:t>non-</w:t>
      </w:r>
      <w:r>
        <w:rPr>
          <w:rFonts w:hint="default" w:ascii="Times New Roman" w:hAnsi="Times New Roman" w:eastAsia="宋体" w:cs="Times New Roman"/>
          <w:i w:val="0"/>
          <w:iCs w:val="0"/>
          <w:color w:val="auto"/>
          <w:sz w:val="20"/>
          <w:szCs w:val="22"/>
          <w:highlight w:val="none"/>
          <w:lang w:val="en-US" w:eastAsia="zh-CN"/>
        </w:rPr>
        <w:t>contiguous UL CA</w:t>
      </w:r>
    </w:p>
    <w:p>
      <w:pPr>
        <w:pStyle w:val="143"/>
        <w:numPr>
          <w:ilvl w:val="0"/>
          <w:numId w:val="17"/>
        </w:numPr>
        <w:overflowPunct/>
        <w:autoSpaceDE/>
        <w:autoSpaceDN/>
        <w:adjustRightInd/>
        <w:spacing w:before="120" w:after="120"/>
        <w:ind w:left="420" w:hanging="420" w:firstLineChars="0"/>
        <w:textAlignment w:val="auto"/>
        <w:rPr>
          <w:rFonts w:hint="default" w:ascii="Times New Roman" w:hAnsi="Times New Roman" w:eastAsia="宋体" w:cs="Times New Roman"/>
          <w:color w:val="auto"/>
          <w:sz w:val="20"/>
          <w:szCs w:val="22"/>
          <w:highlight w:val="none"/>
          <w:lang w:val="en-US" w:eastAsia="zh-CN"/>
        </w:rPr>
      </w:pPr>
      <w:r>
        <w:rPr>
          <w:rFonts w:hint="default" w:ascii="Times New Roman" w:hAnsi="Times New Roman" w:eastAsia="宋体" w:cs="Times New Roman"/>
          <w:i w:val="0"/>
          <w:iCs w:val="0"/>
          <w:color w:val="auto"/>
          <w:sz w:val="20"/>
          <w:szCs w:val="22"/>
          <w:highlight w:val="none"/>
          <w:lang w:val="en-US" w:eastAsia="zh-CN"/>
        </w:rPr>
        <w:t>n</w:t>
      </w:r>
      <w:r>
        <w:rPr>
          <w:rFonts w:hint="default" w:ascii="Times New Roman" w:hAnsi="Times New Roman" w:eastAsia="宋体" w:cs="Times New Roman"/>
          <w:color w:val="auto"/>
          <w:sz w:val="20"/>
          <w:szCs w:val="22"/>
          <w:highlight w:val="none"/>
          <w:lang w:val="en-US" w:eastAsia="zh-CN"/>
        </w:rPr>
        <w:t xml:space="preserve">o need to consider different power class configuration of each CC, </w:t>
      </w:r>
    </w:p>
    <w:p>
      <w:pPr>
        <w:pStyle w:val="143"/>
        <w:numPr>
          <w:ilvl w:val="0"/>
          <w:numId w:val="17"/>
        </w:numPr>
        <w:overflowPunct/>
        <w:autoSpaceDE/>
        <w:autoSpaceDN/>
        <w:adjustRightInd/>
        <w:spacing w:before="120" w:after="120"/>
        <w:ind w:left="420" w:hanging="420" w:firstLineChars="0"/>
        <w:textAlignment w:val="auto"/>
        <w:rPr>
          <w:rFonts w:hint="default" w:ascii="Times New Roman" w:hAnsi="Times New Roman" w:eastAsia="宋体" w:cs="Times New Roman"/>
          <w:color w:val="auto"/>
          <w:sz w:val="20"/>
          <w:szCs w:val="22"/>
          <w:highlight w:val="none"/>
          <w:lang w:val="en-US" w:eastAsia="zh-CN"/>
        </w:rPr>
      </w:pPr>
      <w:r>
        <w:rPr>
          <w:rFonts w:hint="eastAsia" w:ascii="Times New Roman" w:hAnsi="Times New Roman" w:cs="Times New Roman"/>
          <w:color w:val="auto"/>
          <w:sz w:val="20"/>
          <w:szCs w:val="22"/>
          <w:highlight w:val="none"/>
          <w:lang w:val="en-US" w:eastAsia="zh-CN"/>
        </w:rPr>
        <w:t>a</w:t>
      </w:r>
      <w:r>
        <w:rPr>
          <w:rFonts w:hint="default" w:ascii="Times New Roman" w:hAnsi="Times New Roman" w:eastAsia="宋体" w:cs="Times New Roman"/>
          <w:color w:val="auto"/>
          <w:sz w:val="20"/>
          <w:szCs w:val="22"/>
          <w:highlight w:val="none"/>
          <w:lang w:eastAsia="zh-CN"/>
        </w:rPr>
        <w:t>dopt same UL/DL configuration and synchronized condition</w:t>
      </w:r>
      <w:r>
        <w:rPr>
          <w:rFonts w:hint="default" w:ascii="Times New Roman" w:hAnsi="Times New Roman" w:eastAsia="宋体" w:cs="Times New Roman"/>
          <w:color w:val="auto"/>
          <w:sz w:val="20"/>
          <w:szCs w:val="22"/>
          <w:highlight w:val="none"/>
          <w:lang w:val="en-US" w:eastAsia="zh-CN"/>
        </w:rPr>
        <w:t xml:space="preserve">. </w:t>
      </w:r>
    </w:p>
    <w:p>
      <w:pPr>
        <w:pStyle w:val="143"/>
        <w:spacing w:before="120" w:after="120"/>
        <w:rPr>
          <w:rFonts w:hint="eastAsia" w:ascii="Times New Roman" w:hAnsi="Times New Roman" w:cs="Times New Roman"/>
          <w:b w:val="0"/>
          <w:bCs w:val="0"/>
          <w:color w:val="auto"/>
          <w:sz w:val="20"/>
          <w:szCs w:val="22"/>
          <w:highlight w:val="none"/>
          <w:lang w:val="en-US" w:eastAsia="zh-CN"/>
        </w:rPr>
      </w:pPr>
      <w:r>
        <w:rPr>
          <w:rFonts w:hint="eastAsia" w:ascii="Times New Roman" w:hAnsi="Times New Roman" w:cs="Times New Roman"/>
          <w:color w:val="auto"/>
          <w:sz w:val="20"/>
          <w:szCs w:val="22"/>
          <w:highlight w:val="none"/>
          <w:lang w:val="en-US" w:eastAsia="zh-CN"/>
        </w:rPr>
        <w:t xml:space="preserve">The above two point makes it is feasible to </w:t>
      </w:r>
      <w:r>
        <w:rPr>
          <w:rFonts w:hint="eastAsia" w:ascii="Times New Roman" w:hAnsi="Times New Roman" w:cs="Times New Roman"/>
          <w:i w:val="0"/>
          <w:iCs w:val="0"/>
          <w:color w:val="auto"/>
          <w:sz w:val="20"/>
          <w:szCs w:val="22"/>
          <w:highlight w:val="none"/>
          <w:lang w:val="en-US" w:eastAsia="zh-CN"/>
        </w:rPr>
        <w:t>r</w:t>
      </w:r>
      <w:r>
        <w:rPr>
          <w:rFonts w:hint="eastAsia" w:ascii="Times New Roman" w:hAnsi="Times New Roman" w:eastAsia="宋体" w:cs="Times New Roman"/>
          <w:i w:val="0"/>
          <w:iCs w:val="0"/>
          <w:color w:val="auto"/>
          <w:sz w:val="20"/>
          <w:szCs w:val="22"/>
          <w:highlight w:val="none"/>
          <w:lang w:val="en-US" w:eastAsia="zh-CN"/>
        </w:rPr>
        <w:t>euse the capability for single carrier case</w:t>
      </w:r>
      <w:r>
        <w:rPr>
          <w:rFonts w:hint="eastAsia" w:ascii="Times New Roman" w:hAnsi="Times New Roman" w:cs="Times New Roman"/>
          <w:i w:val="0"/>
          <w:iCs w:val="0"/>
          <w:color w:val="auto"/>
          <w:sz w:val="20"/>
          <w:szCs w:val="22"/>
          <w:highlight w:val="none"/>
          <w:lang w:val="en-US" w:eastAsia="zh-CN"/>
        </w:rPr>
        <w:t xml:space="preserve"> for c</w:t>
      </w:r>
      <w:r>
        <w:rPr>
          <w:rFonts w:hint="eastAsia" w:ascii="Times New Roman" w:hAnsi="Times New Roman" w:eastAsia="宋体" w:cs="Times New Roman"/>
          <w:i w:val="0"/>
          <w:iCs w:val="0"/>
          <w:color w:val="auto"/>
          <w:sz w:val="20"/>
          <w:szCs w:val="22"/>
          <w:highlight w:val="none"/>
          <w:lang w:val="en-US" w:eastAsia="zh-CN"/>
        </w:rPr>
        <w:t>apability of MaxUplinkDutyCycle</w:t>
      </w:r>
      <w:r>
        <w:rPr>
          <w:rFonts w:hint="eastAsia" w:ascii="Times New Roman" w:hAnsi="Times New Roman" w:cs="Times New Roman"/>
          <w:i w:val="0"/>
          <w:iCs w:val="0"/>
          <w:color w:val="auto"/>
          <w:sz w:val="20"/>
          <w:szCs w:val="22"/>
          <w:highlight w:val="none"/>
          <w:lang w:val="en-US" w:eastAsia="zh-CN"/>
        </w:rPr>
        <w:t xml:space="preserve"> for </w:t>
      </w:r>
      <w:r>
        <w:rPr>
          <w:rFonts w:hint="default" w:ascii="Times New Roman" w:hAnsi="Times New Roman" w:eastAsia="宋体" w:cs="Times New Roman"/>
          <w:i w:val="0"/>
          <w:iCs w:val="0"/>
          <w:color w:val="auto"/>
          <w:sz w:val="20"/>
          <w:szCs w:val="22"/>
          <w:highlight w:val="none"/>
          <w:lang w:val="en-US" w:eastAsia="zh-CN"/>
        </w:rPr>
        <w:t xml:space="preserve">PC2 NR TDD intra-band </w:t>
      </w:r>
      <w:r>
        <w:rPr>
          <w:rFonts w:hint="eastAsia" w:ascii="Times New Roman" w:hAnsi="Times New Roman" w:cs="Times New Roman"/>
          <w:i w:val="0"/>
          <w:iCs w:val="0"/>
          <w:color w:val="auto"/>
          <w:sz w:val="20"/>
          <w:szCs w:val="22"/>
          <w:highlight w:val="none"/>
          <w:lang w:val="en-US" w:eastAsia="zh-CN"/>
        </w:rPr>
        <w:t>non-</w:t>
      </w:r>
      <w:r>
        <w:rPr>
          <w:rFonts w:hint="default" w:ascii="Times New Roman" w:hAnsi="Times New Roman" w:eastAsia="宋体" w:cs="Times New Roman"/>
          <w:i w:val="0"/>
          <w:iCs w:val="0"/>
          <w:color w:val="auto"/>
          <w:sz w:val="20"/>
          <w:szCs w:val="22"/>
          <w:highlight w:val="none"/>
          <w:lang w:val="en-US" w:eastAsia="zh-CN"/>
        </w:rPr>
        <w:t>contiguous UL CA</w:t>
      </w:r>
      <w:r>
        <w:rPr>
          <w:rFonts w:hint="eastAsia" w:ascii="Times New Roman" w:hAnsi="Times New Roman" w:cs="Times New Roman"/>
          <w:i w:val="0"/>
          <w:iCs w:val="0"/>
          <w:color w:val="auto"/>
          <w:sz w:val="20"/>
          <w:szCs w:val="22"/>
          <w:highlight w:val="none"/>
          <w:lang w:val="en-US" w:eastAsia="zh-CN"/>
        </w:rPr>
        <w:t xml:space="preserve">. Except that, </w:t>
      </w:r>
      <w:r>
        <w:rPr>
          <w:rFonts w:hint="eastAsia" w:ascii="Times New Roman" w:hAnsi="Times New Roman" w:eastAsia="宋体" w:cs="Times New Roman"/>
          <w:b w:val="0"/>
          <w:bCs w:val="0"/>
          <w:color w:val="auto"/>
          <w:sz w:val="20"/>
          <w:szCs w:val="22"/>
          <w:highlight w:val="none"/>
          <w:lang w:val="en-US" w:eastAsia="zh-CN"/>
        </w:rPr>
        <w:t>P-MPR solution can be used as baseline SAR solution</w:t>
      </w:r>
      <w:r>
        <w:rPr>
          <w:rFonts w:hint="eastAsia" w:ascii="Times New Roman" w:hAnsi="Times New Roman" w:cs="Times New Roman"/>
          <w:b w:val="0"/>
          <w:bCs w:val="0"/>
          <w:color w:val="auto"/>
          <w:sz w:val="20"/>
          <w:szCs w:val="22"/>
          <w:highlight w:val="none"/>
          <w:lang w:val="en-US" w:eastAsia="zh-CN"/>
        </w:rPr>
        <w:t>.</w:t>
      </w:r>
    </w:p>
    <w:p>
      <w:pPr>
        <w:keepNext/>
        <w:keepLines/>
        <w:pageBreakBefore w:val="0"/>
        <w:widowControl w:val="0"/>
        <w:numPr>
          <w:ilvl w:val="0"/>
          <w:numId w:val="0"/>
        </w:numPr>
        <w:kinsoku/>
        <w:wordWrap/>
        <w:overflowPunct/>
        <w:topLinePunct w:val="0"/>
        <w:autoSpaceDE/>
        <w:autoSpaceDN/>
        <w:bidi w:val="0"/>
        <w:adjustRightInd/>
        <w:snapToGrid/>
        <w:spacing w:before="120" w:after="120"/>
        <w:ind w:leftChars="0"/>
        <w:textAlignment w:val="auto"/>
        <w:outlineLvl w:val="9"/>
        <w:rPr>
          <w:rFonts w:hint="default"/>
          <w:b/>
          <w:bCs/>
          <w:color w:val="auto"/>
          <w:sz w:val="20"/>
          <w:highlight w:val="none"/>
          <w:vertAlign w:val="baseline"/>
          <w:lang w:val="en-US" w:eastAsia="zh-CN"/>
        </w:rPr>
      </w:pPr>
      <w:r>
        <w:rPr>
          <w:rFonts w:hint="eastAsia" w:eastAsia="宋体"/>
          <w:b/>
          <w:bCs/>
          <w:color w:val="auto"/>
          <w:sz w:val="20"/>
          <w:szCs w:val="22"/>
          <w:highlight w:val="none"/>
          <w:lang w:val="en-US" w:eastAsia="zh-CN"/>
        </w:rPr>
        <w:t xml:space="preserve">Observation 1: P-MPR solution can be used as basedline SAR solution </w:t>
      </w:r>
    </w:p>
    <w:p>
      <w:pPr>
        <w:keepNext/>
        <w:keepLines/>
        <w:pageBreakBefore w:val="0"/>
        <w:widowControl w:val="0"/>
        <w:numPr>
          <w:ilvl w:val="0"/>
          <w:numId w:val="0"/>
        </w:numPr>
        <w:kinsoku/>
        <w:wordWrap/>
        <w:overflowPunct/>
        <w:topLinePunct w:val="0"/>
        <w:autoSpaceDE/>
        <w:autoSpaceDN/>
        <w:bidi w:val="0"/>
        <w:adjustRightInd/>
        <w:snapToGrid/>
        <w:spacing w:before="120" w:after="120"/>
        <w:ind w:leftChars="0"/>
        <w:textAlignment w:val="auto"/>
        <w:outlineLvl w:val="9"/>
        <w:rPr>
          <w:rFonts w:hint="default" w:eastAsia="宋体" w:cs="Times New Roman"/>
          <w:i w:val="0"/>
          <w:iCs w:val="0"/>
          <w:color w:val="auto"/>
          <w:sz w:val="20"/>
          <w:szCs w:val="22"/>
          <w:highlight w:val="none"/>
          <w:lang w:val="en-US" w:eastAsia="zh-CN"/>
        </w:rPr>
      </w:pPr>
      <w:r>
        <w:rPr>
          <w:rFonts w:hint="eastAsia" w:eastAsia="宋体" w:cs="Times New Roman"/>
          <w:b/>
          <w:bCs/>
          <w:color w:val="auto"/>
          <w:sz w:val="20"/>
          <w:szCs w:val="22"/>
          <w:highlight w:val="none"/>
          <w:lang w:val="en-US" w:eastAsia="zh-CN"/>
        </w:rPr>
        <w:t xml:space="preserve">Proposal 1. </w:t>
      </w:r>
      <w:r>
        <w:rPr>
          <w:rFonts w:hint="eastAsia" w:eastAsia="宋体" w:cs="Times New Roman"/>
          <w:b/>
          <w:bCs/>
          <w:i w:val="0"/>
          <w:iCs w:val="0"/>
          <w:color w:val="auto"/>
          <w:sz w:val="20"/>
          <w:szCs w:val="22"/>
          <w:highlight w:val="none"/>
          <w:lang w:val="en-US" w:eastAsia="zh-CN"/>
        </w:rPr>
        <w:t>Capability of MaxUplinkDutyCycle: Reuse the capability for single carrier case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1"/>
        <w:rPr>
          <w:rFonts w:hint="default" w:eastAsia="宋体" w:cs="Times New Roman"/>
          <w:b/>
          <w:bCs/>
          <w:i w:val="0"/>
          <w:iCs w:val="0"/>
          <w:color w:val="auto"/>
          <w:sz w:val="20"/>
          <w:szCs w:val="22"/>
          <w:highlight w:val="none"/>
          <w:lang w:val="en-US" w:eastAsia="zh-CN"/>
        </w:rPr>
      </w:pPr>
      <w:r>
        <w:rPr>
          <w:rFonts w:hint="eastAsia" w:eastAsia="宋体" w:cs="Times New Roman"/>
          <w:b/>
          <w:bCs/>
          <w:i w:val="0"/>
          <w:iCs w:val="0"/>
          <w:color w:val="auto"/>
          <w:sz w:val="20"/>
          <w:szCs w:val="22"/>
          <w:highlight w:val="none"/>
          <w:lang w:val="en-US" w:eastAsia="zh-CN"/>
        </w:rPr>
        <w:t>2.2  RF requirements related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olor w:val="auto"/>
          <w:sz w:val="20"/>
          <w:szCs w:val="22"/>
          <w:highlight w:val="none"/>
          <w:lang w:val="en-US" w:eastAsia="zh-CN"/>
        </w:rPr>
      </w:pPr>
      <w:r>
        <w:rPr>
          <w:rFonts w:hint="eastAsia" w:eastAsia="宋体" w:cs="Times New Roman"/>
          <w:i w:val="0"/>
          <w:iCs w:val="0"/>
          <w:color w:val="auto"/>
          <w:sz w:val="20"/>
          <w:szCs w:val="22"/>
          <w:highlight w:val="none"/>
          <w:lang w:val="en-US" w:eastAsia="zh-CN"/>
        </w:rPr>
        <w:t xml:space="preserve">The MPR </w:t>
      </w:r>
      <w:r>
        <w:rPr>
          <w:rFonts w:hint="eastAsia" w:eastAsia="宋体"/>
          <w:color w:val="auto"/>
          <w:sz w:val="20"/>
          <w:szCs w:val="22"/>
          <w:highlight w:val="none"/>
          <w:lang w:val="en-US" w:eastAsia="zh-CN"/>
        </w:rPr>
        <w:t xml:space="preserve">for PC3 </w:t>
      </w:r>
      <w:r>
        <w:rPr>
          <w:rFonts w:hint="eastAsia" w:eastAsia="宋体" w:cs="Times New Roman"/>
          <w:i w:val="0"/>
          <w:iCs w:val="0"/>
          <w:color w:val="auto"/>
          <w:sz w:val="20"/>
          <w:szCs w:val="22"/>
          <w:highlight w:val="none"/>
          <w:lang w:val="en-US" w:eastAsia="zh-CN"/>
        </w:rPr>
        <w:t xml:space="preserve">CA_n77(2A) is defined </w:t>
      </w:r>
      <w:r>
        <w:rPr>
          <w:rFonts w:hint="eastAsia" w:eastAsia="宋体"/>
          <w:color w:val="auto"/>
          <w:sz w:val="20"/>
          <w:szCs w:val="22"/>
          <w:highlight w:val="none"/>
          <w:lang w:val="en-US" w:eastAsia="zh-CN"/>
        </w:rPr>
        <w:t xml:space="preserve">UEs indicating IE </w:t>
      </w:r>
      <w:r>
        <w:rPr>
          <w:rFonts w:hint="eastAsia" w:eastAsia="宋体"/>
          <w:i w:val="0"/>
          <w:color w:val="auto"/>
          <w:sz w:val="20"/>
          <w:szCs w:val="22"/>
          <w:highlight w:val="none"/>
          <w:lang w:val="en-US" w:eastAsia="zh-CN"/>
        </w:rPr>
        <w:t>dualPA-Architecture</w:t>
      </w:r>
      <w:r>
        <w:rPr>
          <w:rFonts w:hint="eastAsia" w:eastAsia="宋体"/>
          <w:color w:val="auto"/>
          <w:sz w:val="20"/>
          <w:szCs w:val="22"/>
          <w:highlight w:val="none"/>
          <w:lang w:val="en-US" w:eastAsia="zh-CN"/>
        </w:rPr>
        <w:t xml:space="preserve"> supported, although there may exist some other implementations, even using one 26dBm PA, the MPR requirements evaluation should be based on dual PA RF architecture, more assumption parameters are needed to be further study.</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color w:val="auto"/>
          <w:sz w:val="20"/>
          <w:szCs w:val="22"/>
          <w:highlight w:val="none"/>
          <w:lang w:val="en-US" w:eastAsia="zh-CN"/>
        </w:rPr>
      </w:pPr>
      <w:r>
        <w:rPr>
          <w:rFonts w:hint="eastAsia" w:eastAsia="宋体" w:cs="Times New Roman"/>
          <w:i w:val="0"/>
          <w:iCs w:val="0"/>
          <w:color w:val="auto"/>
          <w:sz w:val="20"/>
          <w:szCs w:val="22"/>
          <w:highlight w:val="none"/>
          <w:lang w:val="en-US" w:eastAsia="zh-CN"/>
        </w:rPr>
        <w:t xml:space="preserve">For maximum output power tolerance, although +2/-2dBm for PC3, due to +2/-3dBm was agreed for PC2 intra-band contiguous CA, so we think the same requirements as contiguous can be applied for non-contiguous , i.e. +2/-3dBm.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color w:val="auto"/>
          <w:sz w:val="20"/>
          <w:szCs w:val="22"/>
          <w:highlight w:val="none"/>
          <w:lang w:val="en-US" w:eastAsia="zh-CN"/>
        </w:rPr>
      </w:pPr>
      <w:r>
        <w:rPr>
          <w:rFonts w:hint="eastAsia" w:eastAsia="宋体" w:cs="Times New Roman"/>
          <w:i w:val="0"/>
          <w:iCs w:val="0"/>
          <w:color w:val="auto"/>
          <w:sz w:val="20"/>
          <w:szCs w:val="22"/>
          <w:highlight w:val="none"/>
          <w:lang w:val="en-US" w:eastAsia="zh-CN"/>
        </w:rPr>
        <w:t>For the emission requirements, such as SEM, spurious emission, additional spurious emission,  UE-to-UE coexistence requirements, PC3 requirements can be reused due to the emission requirements are general derived from the regulatory requirements and it is the criteria for MPR/A-MPR evaluation.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color w:val="auto"/>
          <w:sz w:val="20"/>
          <w:szCs w:val="22"/>
          <w:highlight w:val="none"/>
          <w:lang w:val="en-US" w:eastAsia="zh-CN"/>
        </w:rPr>
      </w:pPr>
      <w:r>
        <w:rPr>
          <w:rFonts w:hint="eastAsia" w:eastAsia="宋体" w:cs="Times New Roman"/>
          <w:i w:val="0"/>
          <w:iCs w:val="0"/>
          <w:color w:val="auto"/>
          <w:sz w:val="20"/>
          <w:szCs w:val="22"/>
          <w:highlight w:val="none"/>
          <w:lang w:val="en-US" w:eastAsia="zh-CN"/>
        </w:rPr>
        <w:t>For Pcmax, due to the single carrier MaxUplinkDutyCycle capability is reused, then use the same power class fallback mechanism as for single carrier.</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olor w:val="auto"/>
          <w:sz w:val="20"/>
          <w:highlight w:val="none"/>
          <w:vertAlign w:val="baseline"/>
          <w:lang w:val="en-US" w:eastAsia="zh-CN"/>
        </w:rPr>
      </w:pPr>
      <w:r>
        <w:rPr>
          <w:rFonts w:hint="eastAsia"/>
          <w:color w:val="auto"/>
          <w:sz w:val="20"/>
          <w:highlight w:val="none"/>
          <w:vertAlign w:val="baseline"/>
          <w:lang w:val="en-US" w:eastAsia="zh-CN"/>
        </w:rPr>
        <w:t>For ACLR, the same requirement for PC2 intra-band contiguous NR CA (i.e. ACLR=31dB) is re-used for PC2 intra-band non-contiguous UL CA, and also it is band independence requirements.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olor w:val="auto"/>
          <w:sz w:val="20"/>
          <w:highlight w:val="none"/>
          <w:vertAlign w:val="baseline"/>
          <w:lang w:val="en-US" w:eastAsia="zh-CN"/>
        </w:rPr>
      </w:pPr>
      <w:r>
        <w:rPr>
          <w:rFonts w:hint="eastAsia"/>
          <w:color w:val="auto"/>
          <w:sz w:val="20"/>
          <w:highlight w:val="none"/>
          <w:vertAlign w:val="baseline"/>
          <w:lang w:val="en-US" w:eastAsia="zh-CN"/>
        </w:rPr>
        <w:t>For the other Tx requirements except the above ones, no new requirements are needed for PC2 intra-band non-contiguous UL CA.</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b/>
          <w:bCs/>
          <w:color w:val="auto"/>
          <w:sz w:val="20"/>
          <w:szCs w:val="22"/>
          <w:highlight w:val="none"/>
          <w:lang w:val="en-US" w:eastAsia="zh-CN"/>
        </w:rPr>
      </w:pPr>
      <w:r>
        <w:rPr>
          <w:rFonts w:hint="eastAsia" w:eastAsia="宋体"/>
          <w:b/>
          <w:bCs/>
          <w:color w:val="auto"/>
          <w:sz w:val="20"/>
          <w:szCs w:val="22"/>
          <w:highlight w:val="none"/>
          <w:lang w:val="en-US" w:eastAsia="zh-CN"/>
        </w:rPr>
        <w:t>Proposal 2: Pcmax:  Use the same power class fallback mechanism as for single carrier</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b/>
          <w:bCs/>
          <w:color w:val="auto"/>
          <w:sz w:val="20"/>
          <w:szCs w:val="22"/>
          <w:highlight w:val="none"/>
          <w:lang w:val="en-US" w:eastAsia="zh-CN"/>
        </w:rPr>
      </w:pPr>
      <w:r>
        <w:rPr>
          <w:rFonts w:hint="eastAsia" w:eastAsia="宋体"/>
          <w:b/>
          <w:bCs/>
          <w:color w:val="auto"/>
          <w:sz w:val="20"/>
          <w:szCs w:val="22"/>
          <w:highlight w:val="none"/>
          <w:lang w:val="en-US" w:eastAsia="zh-CN"/>
        </w:rPr>
        <w:t xml:space="preserve">Proposal 3: No changed for the spectrum emission mask ,additional spurious emission requirements, UE-to-UE coexistence requirements.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b/>
          <w:bCs/>
          <w:color w:val="auto"/>
          <w:sz w:val="20"/>
          <w:szCs w:val="22"/>
          <w:highlight w:val="none"/>
          <w:lang w:val="en-US" w:eastAsia="zh-CN"/>
        </w:rPr>
      </w:pPr>
      <w:r>
        <w:rPr>
          <w:rFonts w:hint="eastAsia" w:eastAsia="宋体"/>
          <w:b/>
          <w:bCs/>
          <w:color w:val="auto"/>
          <w:sz w:val="20"/>
          <w:szCs w:val="22"/>
          <w:highlight w:val="none"/>
          <w:lang w:val="en-US" w:eastAsia="zh-CN"/>
        </w:rPr>
        <w:t xml:space="preserve">Proposal 4: The UE maximum output power is 26dBm+ +/-3dB, regardless of the RF implementation architectures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b/>
          <w:bCs/>
          <w:color w:val="auto"/>
          <w:sz w:val="20"/>
          <w:szCs w:val="22"/>
          <w:highlight w:val="none"/>
          <w:lang w:val="en-US" w:eastAsia="zh-CN"/>
        </w:rPr>
      </w:pPr>
      <w:r>
        <w:rPr>
          <w:rFonts w:hint="eastAsia" w:eastAsia="宋体"/>
          <w:b/>
          <w:bCs/>
          <w:color w:val="auto"/>
          <w:sz w:val="20"/>
          <w:szCs w:val="22"/>
          <w:highlight w:val="none"/>
          <w:lang w:val="en-US" w:eastAsia="zh-CN"/>
        </w:rPr>
        <w:t>Proposal 5: ACLR=31dB for PC2 intra-band non-contiguous UL CA</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color w:val="auto"/>
          <w:sz w:val="28"/>
          <w:szCs w:val="24"/>
          <w:highlight w:val="none"/>
          <w:lang w:val="en-US" w:eastAsia="zh-CN"/>
        </w:rPr>
      </w:pPr>
      <w:r>
        <w:rPr>
          <w:rFonts w:hint="eastAsia" w:ascii="Arial" w:hAnsi="Arial" w:eastAsia="宋体" w:cs="Arial"/>
          <w:b/>
          <w:color w:val="auto"/>
          <w:sz w:val="28"/>
          <w:szCs w:val="24"/>
          <w:highlight w:val="none"/>
          <w:lang w:val="en-US" w:eastAsia="zh-CN"/>
        </w:rPr>
        <w:t>3</w:t>
      </w:r>
      <w:r>
        <w:rPr>
          <w:rFonts w:hint="default" w:ascii="Arial" w:hAnsi="Arial" w:eastAsia="宋体" w:cs="Arial"/>
          <w:b/>
          <w:color w:val="auto"/>
          <w:sz w:val="28"/>
          <w:szCs w:val="24"/>
          <w:highlight w:val="none"/>
          <w:lang w:val="en-US" w:eastAsia="zh-CN"/>
        </w:rPr>
        <w:tab/>
      </w:r>
      <w:r>
        <w:rPr>
          <w:rFonts w:hint="eastAsia" w:ascii="Arial" w:hAnsi="Arial" w:eastAsia="宋体" w:cs="Arial"/>
          <w:b/>
          <w:color w:val="auto"/>
          <w:sz w:val="28"/>
          <w:szCs w:val="24"/>
          <w:highlight w:val="none"/>
          <w:lang w:val="en-US" w:eastAsia="zh-CN"/>
        </w:rPr>
        <w:t>Conclusion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color w:val="auto"/>
          <w:sz w:val="20"/>
          <w:szCs w:val="22"/>
          <w:highlight w:val="none"/>
          <w:lang w:val="en-US" w:eastAsia="zh-CN"/>
        </w:rPr>
      </w:pPr>
      <w:r>
        <w:rPr>
          <w:rFonts w:hint="eastAsia" w:ascii="Times New Roman" w:hAnsi="Times New Roman" w:eastAsia="宋体" w:cs="Times New Roman"/>
          <w:color w:val="auto"/>
          <w:sz w:val="20"/>
          <w:szCs w:val="22"/>
          <w:highlight w:val="none"/>
          <w:lang w:val="en-US" w:eastAsia="zh-CN"/>
        </w:rPr>
        <w:t xml:space="preserve">In this paper,  we give some </w:t>
      </w:r>
      <w:r>
        <w:rPr>
          <w:rFonts w:hint="eastAsia" w:eastAsia="宋体" w:cs="Times New Roman"/>
          <w:color w:val="auto"/>
          <w:sz w:val="20"/>
          <w:szCs w:val="22"/>
          <w:highlight w:val="none"/>
          <w:lang w:val="en-US" w:eastAsia="zh-CN"/>
        </w:rPr>
        <w:t xml:space="preserve">initial </w:t>
      </w:r>
      <w:r>
        <w:rPr>
          <w:rFonts w:hint="eastAsia" w:ascii="Times New Roman" w:hAnsi="Times New Roman" w:eastAsia="宋体" w:cs="Times New Roman"/>
          <w:color w:val="auto"/>
          <w:sz w:val="20"/>
          <w:szCs w:val="22"/>
          <w:highlight w:val="none"/>
          <w:lang w:val="en-US" w:eastAsia="zh-CN"/>
        </w:rPr>
        <w:t>discussion</w:t>
      </w:r>
      <w:r>
        <w:rPr>
          <w:rFonts w:hint="eastAsia" w:ascii="Times New Roman" w:hAnsi="Times New Roman" w:eastAsia="宋体" w:cs="Times New Roman"/>
          <w:i w:val="0"/>
          <w:iCs w:val="0"/>
          <w:color w:val="auto"/>
          <w:sz w:val="20"/>
          <w:szCs w:val="22"/>
          <w:highlight w:val="none"/>
          <w:lang w:val="en-US" w:eastAsia="zh-CN"/>
        </w:rPr>
        <w:t xml:space="preserve"> on the</w:t>
      </w:r>
      <w:r>
        <w:rPr>
          <w:rFonts w:hint="eastAsia" w:eastAsia="宋体" w:cs="Times New Roman"/>
          <w:i w:val="0"/>
          <w:iCs w:val="0"/>
          <w:color w:val="auto"/>
          <w:sz w:val="20"/>
          <w:szCs w:val="22"/>
          <w:highlight w:val="none"/>
          <w:lang w:val="en-US" w:eastAsia="zh-CN"/>
        </w:rPr>
        <w:t xml:space="preserve"> PC2</w:t>
      </w:r>
      <w:r>
        <w:rPr>
          <w:rFonts w:hint="eastAsia" w:ascii="Times New Roman" w:hAnsi="Times New Roman" w:eastAsia="宋体" w:cs="Times New Roman"/>
          <w:i w:val="0"/>
          <w:iCs w:val="0"/>
          <w:color w:val="auto"/>
          <w:sz w:val="20"/>
          <w:szCs w:val="22"/>
          <w:highlight w:val="none"/>
          <w:lang w:val="en-US" w:eastAsia="zh-CN"/>
        </w:rPr>
        <w:t xml:space="preserve"> NR </w:t>
      </w:r>
      <w:r>
        <w:rPr>
          <w:rFonts w:hint="eastAsia" w:eastAsia="宋体" w:cs="Times New Roman"/>
          <w:i w:val="0"/>
          <w:iCs w:val="0"/>
          <w:color w:val="auto"/>
          <w:sz w:val="20"/>
          <w:szCs w:val="22"/>
          <w:highlight w:val="none"/>
          <w:lang w:val="en-US" w:eastAsia="zh-CN"/>
        </w:rPr>
        <w:t xml:space="preserve">TDD </w:t>
      </w:r>
      <w:r>
        <w:rPr>
          <w:rFonts w:hint="eastAsia" w:ascii="Times New Roman" w:hAnsi="Times New Roman" w:eastAsia="宋体" w:cs="Times New Roman"/>
          <w:i w:val="0"/>
          <w:iCs w:val="0"/>
          <w:color w:val="auto"/>
          <w:sz w:val="20"/>
          <w:szCs w:val="22"/>
          <w:highlight w:val="none"/>
          <w:lang w:val="en-US" w:eastAsia="zh-CN"/>
        </w:rPr>
        <w:t>int</w:t>
      </w:r>
      <w:r>
        <w:rPr>
          <w:rFonts w:hint="eastAsia" w:eastAsia="宋体" w:cs="Times New Roman"/>
          <w:i w:val="0"/>
          <w:iCs w:val="0"/>
          <w:color w:val="auto"/>
          <w:sz w:val="20"/>
          <w:szCs w:val="22"/>
          <w:highlight w:val="none"/>
          <w:lang w:val="en-US" w:eastAsia="zh-CN"/>
        </w:rPr>
        <w:t>ra</w:t>
      </w:r>
      <w:r>
        <w:rPr>
          <w:rFonts w:hint="eastAsia" w:ascii="Times New Roman" w:hAnsi="Times New Roman" w:eastAsia="宋体" w:cs="Times New Roman"/>
          <w:i w:val="0"/>
          <w:iCs w:val="0"/>
          <w:color w:val="auto"/>
          <w:sz w:val="20"/>
          <w:szCs w:val="22"/>
          <w:highlight w:val="none"/>
          <w:lang w:val="en-US" w:eastAsia="zh-CN"/>
        </w:rPr>
        <w:t xml:space="preserve">-band </w:t>
      </w:r>
      <w:r>
        <w:rPr>
          <w:rFonts w:hint="eastAsia" w:eastAsia="宋体" w:cs="Times New Roman"/>
          <w:i w:val="0"/>
          <w:iCs w:val="0"/>
          <w:color w:val="auto"/>
          <w:sz w:val="20"/>
          <w:szCs w:val="22"/>
          <w:highlight w:val="none"/>
          <w:lang w:val="en-US" w:eastAsia="zh-CN"/>
        </w:rPr>
        <w:t xml:space="preserve">non-contiguous UL </w:t>
      </w:r>
      <w:r>
        <w:rPr>
          <w:rFonts w:hint="eastAsia" w:ascii="Times New Roman" w:hAnsi="Times New Roman" w:eastAsia="宋体" w:cs="Times New Roman"/>
          <w:i w:val="0"/>
          <w:iCs w:val="0"/>
          <w:color w:val="auto"/>
          <w:sz w:val="20"/>
          <w:szCs w:val="22"/>
          <w:highlight w:val="none"/>
          <w:lang w:val="en-US" w:eastAsia="zh-CN"/>
        </w:rPr>
        <w:t>CA</w:t>
      </w:r>
      <w:r>
        <w:rPr>
          <w:rFonts w:hint="eastAsia" w:eastAsia="宋体" w:cs="Times New Roman"/>
          <w:i w:val="0"/>
          <w:iCs w:val="0"/>
          <w:color w:val="auto"/>
          <w:sz w:val="20"/>
          <w:szCs w:val="22"/>
          <w:highlight w:val="none"/>
          <w:lang w:val="en-US" w:eastAsia="zh-CN"/>
        </w:rPr>
        <w:t>,</w:t>
      </w:r>
      <w:r>
        <w:rPr>
          <w:rFonts w:hint="eastAsia" w:ascii="Times New Roman" w:hAnsi="Times New Roman" w:eastAsia="宋体" w:cs="Times New Roman"/>
          <w:i w:val="0"/>
          <w:iCs w:val="0"/>
          <w:color w:val="auto"/>
          <w:sz w:val="20"/>
          <w:szCs w:val="22"/>
          <w:highlight w:val="none"/>
          <w:lang w:val="en-US" w:eastAsia="zh-CN"/>
        </w:rPr>
        <w:t xml:space="preserve"> the conclusions are summarized as follow:</w:t>
      </w:r>
    </w:p>
    <w:p>
      <w:pPr>
        <w:keepNext/>
        <w:keepLines/>
        <w:pageBreakBefore w:val="0"/>
        <w:widowControl w:val="0"/>
        <w:numPr>
          <w:ilvl w:val="0"/>
          <w:numId w:val="0"/>
        </w:numPr>
        <w:kinsoku/>
        <w:wordWrap/>
        <w:overflowPunct/>
        <w:topLinePunct w:val="0"/>
        <w:autoSpaceDE/>
        <w:autoSpaceDN/>
        <w:bidi w:val="0"/>
        <w:adjustRightInd/>
        <w:snapToGrid/>
        <w:spacing w:before="120" w:after="120"/>
        <w:ind w:leftChars="0"/>
        <w:textAlignment w:val="auto"/>
        <w:outlineLvl w:val="9"/>
        <w:rPr>
          <w:rFonts w:hint="default"/>
          <w:b/>
          <w:bCs/>
          <w:color w:val="auto"/>
          <w:sz w:val="20"/>
          <w:highlight w:val="none"/>
          <w:vertAlign w:val="baseline"/>
          <w:lang w:val="en-US" w:eastAsia="zh-CN"/>
        </w:rPr>
      </w:pPr>
      <w:r>
        <w:rPr>
          <w:rFonts w:hint="eastAsia" w:eastAsia="宋体"/>
          <w:b/>
          <w:bCs/>
          <w:color w:val="auto"/>
          <w:sz w:val="20"/>
          <w:szCs w:val="22"/>
          <w:highlight w:val="none"/>
          <w:lang w:val="en-US" w:eastAsia="zh-CN"/>
        </w:rPr>
        <w:t xml:space="preserve">Observation 1: P-MPR solution can be used as basedline SAR solution </w:t>
      </w:r>
    </w:p>
    <w:p>
      <w:pPr>
        <w:keepNext/>
        <w:keepLines/>
        <w:pageBreakBefore w:val="0"/>
        <w:widowControl w:val="0"/>
        <w:numPr>
          <w:ilvl w:val="0"/>
          <w:numId w:val="0"/>
        </w:numPr>
        <w:kinsoku/>
        <w:wordWrap/>
        <w:overflowPunct/>
        <w:topLinePunct w:val="0"/>
        <w:autoSpaceDE/>
        <w:autoSpaceDN/>
        <w:bidi w:val="0"/>
        <w:adjustRightInd/>
        <w:snapToGrid/>
        <w:spacing w:before="120" w:after="120"/>
        <w:ind w:leftChars="0"/>
        <w:textAlignment w:val="auto"/>
        <w:outlineLvl w:val="9"/>
        <w:rPr>
          <w:rFonts w:hint="default" w:eastAsia="宋体" w:cs="Times New Roman"/>
          <w:i w:val="0"/>
          <w:iCs w:val="0"/>
          <w:color w:val="auto"/>
          <w:sz w:val="20"/>
          <w:szCs w:val="22"/>
          <w:highlight w:val="none"/>
          <w:lang w:val="en-US" w:eastAsia="zh-CN"/>
        </w:rPr>
      </w:pPr>
      <w:r>
        <w:rPr>
          <w:rFonts w:hint="eastAsia" w:eastAsia="宋体" w:cs="Times New Roman"/>
          <w:b/>
          <w:bCs/>
          <w:color w:val="auto"/>
          <w:sz w:val="20"/>
          <w:szCs w:val="22"/>
          <w:highlight w:val="none"/>
          <w:lang w:val="en-US" w:eastAsia="zh-CN"/>
        </w:rPr>
        <w:t xml:space="preserve">Proposal 1. </w:t>
      </w:r>
      <w:r>
        <w:rPr>
          <w:rFonts w:hint="eastAsia" w:eastAsia="宋体" w:cs="Times New Roman"/>
          <w:b/>
          <w:bCs/>
          <w:i w:val="0"/>
          <w:iCs w:val="0"/>
          <w:color w:val="auto"/>
          <w:sz w:val="20"/>
          <w:szCs w:val="22"/>
          <w:highlight w:val="none"/>
          <w:lang w:val="en-US" w:eastAsia="zh-CN"/>
        </w:rPr>
        <w:t>Capability of MaxUplinkDutyCycle: Reuse the capability for single carrier case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b/>
          <w:bCs/>
          <w:color w:val="auto"/>
          <w:sz w:val="20"/>
          <w:szCs w:val="22"/>
          <w:highlight w:val="none"/>
          <w:lang w:val="en-US" w:eastAsia="zh-CN"/>
        </w:rPr>
      </w:pPr>
      <w:r>
        <w:rPr>
          <w:rFonts w:hint="eastAsia" w:eastAsia="宋体"/>
          <w:b/>
          <w:bCs/>
          <w:color w:val="auto"/>
          <w:sz w:val="20"/>
          <w:szCs w:val="22"/>
          <w:highlight w:val="none"/>
          <w:lang w:val="en-US" w:eastAsia="zh-CN"/>
        </w:rPr>
        <w:t>Proposal 2: Pcmax:  Use the same power class fallback mechanism as for single carrier</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b/>
          <w:bCs/>
          <w:color w:val="auto"/>
          <w:sz w:val="20"/>
          <w:szCs w:val="22"/>
          <w:highlight w:val="none"/>
          <w:lang w:val="en-US" w:eastAsia="zh-CN"/>
        </w:rPr>
      </w:pPr>
      <w:r>
        <w:rPr>
          <w:rFonts w:hint="eastAsia" w:eastAsia="宋体"/>
          <w:b/>
          <w:bCs/>
          <w:color w:val="auto"/>
          <w:sz w:val="20"/>
          <w:szCs w:val="22"/>
          <w:highlight w:val="none"/>
          <w:lang w:val="en-US" w:eastAsia="zh-CN"/>
        </w:rPr>
        <w:t xml:space="preserve">Proposal 3: No changed for the spectrum emission mask ,additional spurious emission requirements, UE-to-UE coexistence requirements.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b/>
          <w:bCs/>
          <w:color w:val="auto"/>
          <w:sz w:val="20"/>
          <w:szCs w:val="22"/>
          <w:highlight w:val="none"/>
          <w:lang w:val="en-US" w:eastAsia="zh-CN"/>
        </w:rPr>
      </w:pPr>
      <w:r>
        <w:rPr>
          <w:rFonts w:hint="eastAsia" w:eastAsia="宋体"/>
          <w:b/>
          <w:bCs/>
          <w:color w:val="auto"/>
          <w:sz w:val="20"/>
          <w:szCs w:val="22"/>
          <w:highlight w:val="none"/>
          <w:lang w:val="en-US" w:eastAsia="zh-CN"/>
        </w:rPr>
        <w:t xml:space="preserve">Proposal 4: The UE maximum output power is 26dBm+ +/-3dB, regardless of the RF implementation architectures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b/>
          <w:bCs/>
          <w:color w:val="auto"/>
          <w:sz w:val="20"/>
          <w:szCs w:val="22"/>
          <w:highlight w:val="none"/>
          <w:lang w:val="en-US" w:eastAsia="zh-CN"/>
        </w:rPr>
      </w:pPr>
      <w:r>
        <w:rPr>
          <w:rFonts w:hint="eastAsia" w:eastAsia="宋体"/>
          <w:b/>
          <w:bCs/>
          <w:color w:val="auto"/>
          <w:sz w:val="20"/>
          <w:szCs w:val="22"/>
          <w:highlight w:val="none"/>
          <w:lang w:val="en-US" w:eastAsia="zh-CN"/>
        </w:rPr>
        <w:t>Proposal 5: ACLR=31dB for PC2 intra-band non-contiguous UL CA</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8"/>
          <w:szCs w:val="24"/>
          <w:highlight w:val="none"/>
          <w:lang w:val="en-US" w:eastAsia="zh-CN"/>
        </w:rPr>
      </w:pPr>
      <w:r>
        <w:rPr>
          <w:rFonts w:hint="eastAsia" w:eastAsia="宋体" w:cs="Arial"/>
          <w:b/>
          <w:color w:val="auto"/>
          <w:sz w:val="28"/>
          <w:szCs w:val="24"/>
          <w:highlight w:val="none"/>
          <w:lang w:val="en-US" w:eastAsia="zh-CN"/>
        </w:rPr>
        <w:t>4</w:t>
      </w:r>
      <w:r>
        <w:rPr>
          <w:rFonts w:hint="default" w:ascii="Arial" w:hAnsi="Arial" w:eastAsia="宋体" w:cs="Arial"/>
          <w:b/>
          <w:color w:val="auto"/>
          <w:sz w:val="28"/>
          <w:szCs w:val="24"/>
          <w:highlight w:val="none"/>
          <w:lang w:val="en-US" w:eastAsia="zh-CN"/>
        </w:rPr>
        <w:tab/>
      </w:r>
      <w:r>
        <w:rPr>
          <w:rFonts w:hint="default" w:ascii="Arial" w:hAnsi="Arial" w:eastAsia="宋体" w:cs="Arial"/>
          <w:b/>
          <w:color w:val="auto"/>
          <w:sz w:val="28"/>
          <w:szCs w:val="24"/>
          <w:highlight w:val="none"/>
          <w:lang w:val="en-US" w:eastAsia="zh-CN"/>
        </w:rPr>
        <w:t>Reference</w:t>
      </w:r>
    </w:p>
    <w:bookmarkEnd w:id="2"/>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color w:val="auto"/>
          <w:sz w:val="20"/>
          <w:szCs w:val="20"/>
          <w:highlight w:val="none"/>
          <w:vertAlign w:val="baseline"/>
          <w:lang w:val="en-US" w:eastAsia="zh-CN"/>
        </w:rPr>
      </w:pPr>
      <w:r>
        <w:rPr>
          <w:rFonts w:hint="eastAsia" w:eastAsia="宋体" w:cs="Times New Roman"/>
          <w:b w:val="0"/>
          <w:bCs w:val="0"/>
          <w:color w:val="auto"/>
          <w:sz w:val="20"/>
          <w:szCs w:val="20"/>
          <w:highlight w:val="none"/>
          <w:vertAlign w:val="baseline"/>
          <w:lang w:val="en-US" w:eastAsia="zh-CN"/>
        </w:rPr>
        <w:t xml:space="preserve">[1] </w:t>
      </w:r>
      <w:r>
        <w:rPr>
          <w:rFonts w:hint="eastAsia" w:eastAsia="宋体"/>
          <w:b w:val="0"/>
          <w:color w:val="auto"/>
          <w:sz w:val="20"/>
          <w:highlight w:val="none"/>
          <w:lang w:val="en-US" w:eastAsia="zh-CN"/>
        </w:rPr>
        <w:t xml:space="preserve">RP-202799 WID revision: </w:t>
      </w:r>
      <w:r>
        <w:rPr>
          <w:rFonts w:hint="eastAsia" w:ascii="Times New Roman" w:hAnsi="Times New Roman" w:eastAsia="宋体" w:cs="Times New Roman"/>
          <w:b w:val="0"/>
          <w:color w:val="auto"/>
          <w:sz w:val="20"/>
          <w:highlight w:val="none"/>
          <w:lang w:val="en-US" w:eastAsia="zh-CN"/>
        </w:rPr>
        <w:t>RF requirements enhancement for NR frequency range 1</w:t>
      </w:r>
      <w:r>
        <w:rPr>
          <w:rFonts w:hint="eastAsia" w:ascii="Times New Roman" w:hAnsi="Times New Roman" w:eastAsia="宋体" w:cs="Times New Roman"/>
          <w:b w:val="0"/>
          <w:bCs w:val="0"/>
          <w:color w:val="auto"/>
          <w:sz w:val="20"/>
          <w:szCs w:val="20"/>
          <w:highlight w:val="none"/>
          <w:vertAlign w:val="baseline"/>
          <w:lang w:val="en-US" w:eastAsia="zh-CN"/>
        </w:rPr>
        <w:t xml:space="preserve">, </w:t>
      </w:r>
      <w:r>
        <w:rPr>
          <w:rFonts w:hint="eastAsia" w:eastAsia="宋体" w:cs="Times New Roman"/>
          <w:b w:val="0"/>
          <w:bCs w:val="0"/>
          <w:color w:val="auto"/>
          <w:sz w:val="20"/>
          <w:szCs w:val="20"/>
          <w:highlight w:val="none"/>
          <w:vertAlign w:val="baseline"/>
          <w:lang w:val="en-US" w:eastAsia="zh-CN"/>
        </w:rPr>
        <w:t>Huawei</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color w:val="auto"/>
          <w:sz w:val="20"/>
          <w:szCs w:val="20"/>
          <w:highlight w:val="none"/>
          <w:vertAlign w:val="baseline"/>
          <w:lang w:val="en-US" w:eastAsia="zh-CN"/>
        </w:rPr>
      </w:pPr>
      <w:r>
        <w:rPr>
          <w:rFonts w:hint="eastAsia" w:eastAsia="宋体" w:cs="Times New Roman"/>
          <w:b w:val="0"/>
          <w:bCs w:val="0"/>
          <w:color w:val="auto"/>
          <w:sz w:val="20"/>
          <w:szCs w:val="20"/>
          <w:highlight w:val="none"/>
          <w:vertAlign w:val="baseline"/>
          <w:lang w:val="en-US" w:eastAsia="zh-CN"/>
        </w:rPr>
        <w:t>[2] R4-2017827, WF on RF requirements for PC2 intra-band contiguous UL CA</w:t>
      </w:r>
      <w:r>
        <w:rPr>
          <w:rFonts w:hint="eastAsia" w:ascii="Times New Roman" w:hAnsi="Times New Roman" w:eastAsia="宋体" w:cs="Times New Roman"/>
          <w:b w:val="0"/>
          <w:bCs w:val="0"/>
          <w:color w:val="auto"/>
          <w:sz w:val="20"/>
          <w:szCs w:val="20"/>
          <w:highlight w:val="none"/>
          <w:vertAlign w:val="baseline"/>
          <w:lang w:val="en-US" w:eastAsia="zh-CN"/>
        </w:rPr>
        <w:t xml:space="preserve">, </w:t>
      </w:r>
      <w:r>
        <w:rPr>
          <w:rFonts w:hint="eastAsia" w:eastAsia="宋体" w:cs="Times New Roman"/>
          <w:b w:val="0"/>
          <w:bCs w:val="0"/>
          <w:color w:val="auto"/>
          <w:sz w:val="20"/>
          <w:szCs w:val="20"/>
          <w:highlight w:val="none"/>
          <w:vertAlign w:val="baseline"/>
          <w:lang w:val="en-US" w:eastAsia="zh-CN"/>
        </w:rPr>
        <w:t>Huawei</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color w:val="auto"/>
          <w:sz w:val="20"/>
          <w:szCs w:val="20"/>
          <w:highlight w:val="none"/>
          <w:vertAlign w:val="baseline"/>
          <w:lang w:val="en-US" w:eastAsia="zh-CN"/>
        </w:rPr>
      </w:pPr>
      <w:r>
        <w:rPr>
          <w:rFonts w:hint="eastAsia" w:eastAsia="宋体" w:cs="Times New Roman"/>
          <w:b w:val="0"/>
          <w:bCs w:val="0"/>
          <w:color w:val="auto"/>
          <w:sz w:val="20"/>
          <w:szCs w:val="20"/>
          <w:highlight w:val="none"/>
          <w:vertAlign w:val="baseline"/>
          <w:lang w:val="en-US" w:eastAsia="zh-CN"/>
        </w:rPr>
        <w:t>[3] R</w:t>
      </w:r>
      <w:r>
        <w:rPr>
          <w:rFonts w:hint="eastAsia" w:ascii="Times New Roman" w:hAnsi="Times New Roman" w:eastAsia="宋体" w:cs="Times New Roman"/>
          <w:b w:val="0"/>
          <w:bCs w:val="0"/>
          <w:color w:val="auto"/>
          <w:sz w:val="20"/>
          <w:szCs w:val="20"/>
          <w:highlight w:val="none"/>
          <w:vertAlign w:val="baseline"/>
          <w:lang w:val="en-US" w:eastAsia="zh-CN"/>
        </w:rPr>
        <w:t>4-2016910</w:t>
      </w:r>
      <w:r>
        <w:rPr>
          <w:rFonts w:hint="eastAsia" w:eastAsia="宋体" w:cs="Times New Roman"/>
          <w:b w:val="0"/>
          <w:bCs w:val="0"/>
          <w:color w:val="auto"/>
          <w:sz w:val="20"/>
          <w:szCs w:val="20"/>
          <w:highlight w:val="none"/>
          <w:vertAlign w:val="baseline"/>
          <w:lang w:val="en-US" w:eastAsia="zh-CN"/>
        </w:rPr>
        <w:t xml:space="preserve">, </w:t>
      </w:r>
      <w:r>
        <w:rPr>
          <w:rFonts w:hint="eastAsia" w:ascii="Times New Roman" w:hAnsi="Times New Roman" w:eastAsia="宋体" w:cs="Times New Roman"/>
          <w:b w:val="0"/>
          <w:bCs w:val="0"/>
          <w:color w:val="auto"/>
          <w:sz w:val="20"/>
          <w:szCs w:val="20"/>
          <w:highlight w:val="none"/>
          <w:vertAlign w:val="baseline"/>
          <w:lang w:val="en-US" w:eastAsia="zh-CN"/>
        </w:rPr>
        <w:t>WF on MPR&amp;AMPR simulation assumption for PC2 intra-band contiguous UL</w:t>
      </w:r>
      <w:r>
        <w:rPr>
          <w:rFonts w:hint="eastAsia" w:eastAsia="宋体" w:cs="Times New Roman"/>
          <w:b w:val="0"/>
          <w:bCs w:val="0"/>
          <w:color w:val="auto"/>
          <w:sz w:val="20"/>
          <w:szCs w:val="20"/>
          <w:highlight w:val="none"/>
          <w:vertAlign w:val="baseline"/>
          <w:lang w:val="en-US" w:eastAsia="zh-CN"/>
        </w:rPr>
        <w:t>, Skyworks Solutions Inc</w:t>
      </w:r>
    </w:p>
    <w:p>
      <w:pPr>
        <w:spacing w:after="120"/>
        <w:ind w:left="1985" w:hanging="1985"/>
        <w:rPr>
          <w:rFonts w:hint="default" w:ascii="Arial" w:hAnsi="Arial" w:cs="Arial" w:eastAsiaTheme="minorEastAsia"/>
          <w:color w:val="auto"/>
          <w:sz w:val="22"/>
          <w:lang w:val="en-US" w:eastAsia="zh-CN"/>
        </w:rPr>
      </w:pP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default" w:eastAsia="宋体" w:cs="Times New Roman"/>
          <w:b w:val="0"/>
          <w:bCs w:val="0"/>
          <w:color w:val="auto"/>
          <w:sz w:val="20"/>
          <w:szCs w:val="20"/>
          <w:highlight w:val="none"/>
          <w:vertAlign w:val="baseline"/>
          <w:lang w:val="en-US" w:eastAsia="zh-CN"/>
        </w:rPr>
      </w:pP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color w:val="auto"/>
          <w:sz w:val="20"/>
          <w:szCs w:val="20"/>
          <w:highlight w:val="none"/>
          <w:vertAlign w:val="baseline"/>
          <w:lang w:val="en-US" w:eastAsia="zh-CN"/>
        </w:rPr>
      </w:pP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color w:val="auto"/>
          <w:sz w:val="20"/>
          <w:szCs w:val="20"/>
          <w:highlight w:val="none"/>
          <w:vertAlign w:val="baseline"/>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color w:val="auto"/>
          <w:sz w:val="20"/>
          <w:szCs w:val="20"/>
          <w:highlight w:val="none"/>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8C4F41"/>
    <w:multiLevelType w:val="singleLevel"/>
    <w:tmpl w:val="E98C4F41"/>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23355193"/>
    <w:multiLevelType w:val="multilevel"/>
    <w:tmpl w:val="23355193"/>
    <w:lvl w:ilvl="0" w:tentative="0">
      <w:start w:val="1"/>
      <w:numFmt w:val="bullet"/>
      <w:lvlText w:val=""/>
      <w:lvlJc w:val="left"/>
      <w:pPr>
        <w:ind w:left="405" w:hanging="360"/>
      </w:pPr>
      <w:rPr>
        <w:rFonts w:hint="default" w:ascii="Symbol" w:hAnsi="Symbol"/>
      </w:rPr>
    </w:lvl>
    <w:lvl w:ilvl="1" w:tentative="0">
      <w:start w:val="0"/>
      <w:numFmt w:val="bullet"/>
      <w:lvlText w:val="-"/>
      <w:lvlJc w:val="left"/>
      <w:pPr>
        <w:ind w:left="885" w:hanging="420"/>
      </w:pPr>
      <w:rPr>
        <w:rFonts w:hint="default" w:ascii="Times New Roman" w:hAnsi="Times New Roman" w:eastAsia="Times New Roman" w:cs="Times New Roman"/>
      </w:rPr>
    </w:lvl>
    <w:lvl w:ilvl="2" w:tentative="0">
      <w:start w:val="0"/>
      <w:numFmt w:val="bullet"/>
      <w:lvlText w:val="-"/>
      <w:lvlJc w:val="left"/>
      <w:pPr>
        <w:ind w:left="1305" w:hanging="420"/>
      </w:pPr>
      <w:rPr>
        <w:rFonts w:hint="default" w:ascii="Times New Roman" w:hAnsi="Times New Roman" w:eastAsia="Times New Roman" w:cs="Times New Roman"/>
      </w:rPr>
    </w:lvl>
    <w:lvl w:ilvl="3" w:tentative="0">
      <w:start w:val="1"/>
      <w:numFmt w:val="decimal"/>
      <w:lvlText w:val="%4."/>
      <w:lvlJc w:val="left"/>
      <w:pPr>
        <w:ind w:left="1725" w:hanging="420"/>
      </w:pPr>
    </w:lvl>
    <w:lvl w:ilvl="4" w:tentative="0">
      <w:start w:val="1"/>
      <w:numFmt w:val="lowerLetter"/>
      <w:lvlText w:val="%5)"/>
      <w:lvlJc w:val="left"/>
      <w:pPr>
        <w:ind w:left="2145" w:hanging="420"/>
      </w:pPr>
    </w:lvl>
    <w:lvl w:ilvl="5" w:tentative="0">
      <w:start w:val="1"/>
      <w:numFmt w:val="lowerRoman"/>
      <w:lvlText w:val="%6."/>
      <w:lvlJc w:val="right"/>
      <w:pPr>
        <w:ind w:left="2565" w:hanging="420"/>
      </w:pPr>
    </w:lvl>
    <w:lvl w:ilvl="6" w:tentative="0">
      <w:start w:val="1"/>
      <w:numFmt w:val="decimal"/>
      <w:lvlText w:val="%7."/>
      <w:lvlJc w:val="left"/>
      <w:pPr>
        <w:ind w:left="2985" w:hanging="420"/>
      </w:pPr>
    </w:lvl>
    <w:lvl w:ilvl="7" w:tentative="0">
      <w:start w:val="1"/>
      <w:numFmt w:val="lowerLetter"/>
      <w:lvlText w:val="%8)"/>
      <w:lvlJc w:val="left"/>
      <w:pPr>
        <w:ind w:left="3405" w:hanging="420"/>
      </w:pPr>
    </w:lvl>
    <w:lvl w:ilvl="8" w:tentative="0">
      <w:start w:val="1"/>
      <w:numFmt w:val="lowerRoman"/>
      <w:lvlText w:val="%9."/>
      <w:lvlJc w:val="right"/>
      <w:pPr>
        <w:ind w:left="3825" w:hanging="420"/>
      </w:pPr>
    </w:lvl>
  </w:abstractNum>
  <w:abstractNum w:abstractNumId="5">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6">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9">
    <w:nsid w:val="52B77FD5"/>
    <w:multiLevelType w:val="multilevel"/>
    <w:tmpl w:val="52B77FD5"/>
    <w:lvl w:ilvl="0" w:tentative="0">
      <w:start w:val="1"/>
      <w:numFmt w:val="bullet"/>
      <w:lvlText w:val=""/>
      <w:lvlJc w:val="left"/>
      <w:pPr>
        <w:ind w:left="405" w:hanging="360"/>
      </w:pPr>
      <w:rPr>
        <w:rFonts w:hint="default" w:ascii="Symbol" w:hAnsi="Symbol"/>
      </w:rPr>
    </w:lvl>
    <w:lvl w:ilvl="1" w:tentative="0">
      <w:start w:val="1"/>
      <w:numFmt w:val="bullet"/>
      <w:lvlText w:val=""/>
      <w:lvlJc w:val="left"/>
      <w:pPr>
        <w:ind w:left="885" w:hanging="420"/>
      </w:pPr>
      <w:rPr>
        <w:rFonts w:hint="default" w:ascii="Symbol" w:hAnsi="Symbol"/>
        <w:color w:val="auto"/>
      </w:rPr>
    </w:lvl>
    <w:lvl w:ilvl="2" w:tentative="0">
      <w:start w:val="1"/>
      <w:numFmt w:val="bullet"/>
      <w:lvlText w:val=""/>
      <w:lvlJc w:val="left"/>
      <w:pPr>
        <w:ind w:left="1305" w:hanging="420"/>
      </w:pPr>
      <w:rPr>
        <w:rFonts w:hint="default" w:ascii="Symbol" w:hAnsi="Symbol"/>
        <w:color w:val="auto"/>
      </w:rPr>
    </w:lvl>
    <w:lvl w:ilvl="3" w:tentative="0">
      <w:start w:val="1"/>
      <w:numFmt w:val="decimal"/>
      <w:lvlText w:val="%4."/>
      <w:lvlJc w:val="left"/>
      <w:pPr>
        <w:ind w:left="1725" w:hanging="420"/>
      </w:pPr>
    </w:lvl>
    <w:lvl w:ilvl="4" w:tentative="0">
      <w:start w:val="1"/>
      <w:numFmt w:val="lowerLetter"/>
      <w:lvlText w:val="%5)"/>
      <w:lvlJc w:val="left"/>
      <w:pPr>
        <w:ind w:left="2145" w:hanging="420"/>
      </w:pPr>
    </w:lvl>
    <w:lvl w:ilvl="5" w:tentative="0">
      <w:start w:val="1"/>
      <w:numFmt w:val="lowerRoman"/>
      <w:lvlText w:val="%6."/>
      <w:lvlJc w:val="right"/>
      <w:pPr>
        <w:ind w:left="2565" w:hanging="420"/>
      </w:pPr>
    </w:lvl>
    <w:lvl w:ilvl="6" w:tentative="0">
      <w:start w:val="1"/>
      <w:numFmt w:val="decimal"/>
      <w:lvlText w:val="%7."/>
      <w:lvlJc w:val="left"/>
      <w:pPr>
        <w:ind w:left="2985" w:hanging="420"/>
      </w:pPr>
    </w:lvl>
    <w:lvl w:ilvl="7" w:tentative="0">
      <w:start w:val="1"/>
      <w:numFmt w:val="lowerLetter"/>
      <w:lvlText w:val="%8)"/>
      <w:lvlJc w:val="left"/>
      <w:pPr>
        <w:ind w:left="3405" w:hanging="420"/>
      </w:pPr>
    </w:lvl>
    <w:lvl w:ilvl="8" w:tentative="0">
      <w:start w:val="1"/>
      <w:numFmt w:val="lowerRoman"/>
      <w:lvlText w:val="%9."/>
      <w:lvlJc w:val="right"/>
      <w:pPr>
        <w:ind w:left="3825" w:hanging="420"/>
      </w:pPr>
    </w:lvl>
  </w:abstractNum>
  <w:abstractNum w:abstractNumId="10">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63847C07"/>
    <w:multiLevelType w:val="multilevel"/>
    <w:tmpl w:val="63847C07"/>
    <w:lvl w:ilvl="0" w:tentative="0">
      <w:start w:val="1"/>
      <w:numFmt w:val="bullet"/>
      <w:lvlText w:val=""/>
      <w:lvlJc w:val="left"/>
      <w:pPr>
        <w:ind w:left="405" w:hanging="360"/>
      </w:pPr>
      <w:rPr>
        <w:rFonts w:hint="default" w:ascii="Symbol" w:hAnsi="Symbol"/>
      </w:rPr>
    </w:lvl>
    <w:lvl w:ilvl="1" w:tentative="0">
      <w:start w:val="1"/>
      <w:numFmt w:val="bullet"/>
      <w:lvlText w:val=""/>
      <w:lvlJc w:val="left"/>
      <w:pPr>
        <w:ind w:left="885" w:hanging="420"/>
      </w:pPr>
      <w:rPr>
        <w:rFonts w:hint="default" w:ascii="Symbol" w:hAnsi="Symbol"/>
        <w:color w:val="auto"/>
      </w:rPr>
    </w:lvl>
    <w:lvl w:ilvl="2" w:tentative="0">
      <w:start w:val="1"/>
      <w:numFmt w:val="bullet"/>
      <w:lvlText w:val=""/>
      <w:lvlJc w:val="left"/>
      <w:pPr>
        <w:ind w:left="1305" w:hanging="420"/>
      </w:pPr>
      <w:rPr>
        <w:rFonts w:hint="default" w:ascii="Wingdings" w:hAnsi="Wingdings"/>
        <w:color w:val="auto"/>
      </w:rPr>
    </w:lvl>
    <w:lvl w:ilvl="3" w:tentative="0">
      <w:start w:val="18"/>
      <w:numFmt w:val="bullet"/>
      <w:lvlText w:val="-"/>
      <w:lvlJc w:val="left"/>
      <w:pPr>
        <w:ind w:left="1725" w:hanging="420"/>
      </w:pPr>
      <w:rPr>
        <w:rFonts w:hint="default" w:ascii="Arial" w:hAnsi="Arial" w:eastAsia="Times New Roman" w:cs="Arial"/>
        <w:i/>
        <w:color w:val="auto"/>
      </w:rPr>
    </w:lvl>
    <w:lvl w:ilvl="4" w:tentative="0">
      <w:start w:val="1"/>
      <w:numFmt w:val="lowerLetter"/>
      <w:lvlText w:val="%5)"/>
      <w:lvlJc w:val="left"/>
      <w:pPr>
        <w:ind w:left="2145" w:hanging="420"/>
      </w:pPr>
    </w:lvl>
    <w:lvl w:ilvl="5" w:tentative="0">
      <w:start w:val="1"/>
      <w:numFmt w:val="lowerRoman"/>
      <w:lvlText w:val="%6."/>
      <w:lvlJc w:val="right"/>
      <w:pPr>
        <w:ind w:left="2565" w:hanging="420"/>
      </w:pPr>
    </w:lvl>
    <w:lvl w:ilvl="6" w:tentative="0">
      <w:start w:val="1"/>
      <w:numFmt w:val="decimal"/>
      <w:lvlText w:val="%7."/>
      <w:lvlJc w:val="left"/>
      <w:pPr>
        <w:ind w:left="2985" w:hanging="420"/>
      </w:pPr>
    </w:lvl>
    <w:lvl w:ilvl="7" w:tentative="0">
      <w:start w:val="1"/>
      <w:numFmt w:val="lowerLetter"/>
      <w:lvlText w:val="%8)"/>
      <w:lvlJc w:val="left"/>
      <w:pPr>
        <w:ind w:left="3405" w:hanging="420"/>
      </w:pPr>
    </w:lvl>
    <w:lvl w:ilvl="8" w:tentative="0">
      <w:start w:val="1"/>
      <w:numFmt w:val="lowerRoman"/>
      <w:lvlText w:val="%9."/>
      <w:lvlJc w:val="right"/>
      <w:pPr>
        <w:ind w:left="3825" w:hanging="420"/>
      </w:pPr>
    </w:lvl>
  </w:abstractNum>
  <w:abstractNum w:abstractNumId="12">
    <w:nsid w:val="65DF46AA"/>
    <w:multiLevelType w:val="singleLevel"/>
    <w:tmpl w:val="65DF46AA"/>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13">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3"/>
  </w:num>
  <w:num w:numId="2">
    <w:abstractNumId w:val="5"/>
  </w:num>
  <w:num w:numId="3">
    <w:abstractNumId w:val="3"/>
  </w:num>
  <w:num w:numId="4">
    <w:abstractNumId w:val="2"/>
  </w:num>
  <w:num w:numId="5">
    <w:abstractNumId w:val="1"/>
  </w:num>
  <w:num w:numId="6">
    <w:abstractNumId w:val="10"/>
  </w:num>
  <w:num w:numId="7">
    <w:abstractNumId w:val="14"/>
  </w:num>
  <w:num w:numId="8">
    <w:abstractNumId w:val="16"/>
  </w:num>
  <w:num w:numId="9">
    <w:abstractNumId w:val="7"/>
  </w:num>
  <w:num w:numId="10">
    <w:abstractNumId w:val="8"/>
  </w:num>
  <w:num w:numId="11">
    <w:abstractNumId w:val="6"/>
  </w:num>
  <w:num w:numId="12">
    <w:abstractNumId w:val="15"/>
  </w:num>
  <w:num w:numId="13">
    <w:abstractNumId w:val="4"/>
  </w:num>
  <w:num w:numId="14">
    <w:abstractNumId w:val="9"/>
  </w:num>
  <w:num w:numId="15">
    <w:abstractNumId w:val="11"/>
  </w:num>
  <w:num w:numId="16">
    <w:abstractNumId w:val="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307"/>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760"/>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70293"/>
    <w:rsid w:val="01674D81"/>
    <w:rsid w:val="01680CBE"/>
    <w:rsid w:val="016C5EFD"/>
    <w:rsid w:val="01711B9C"/>
    <w:rsid w:val="01716051"/>
    <w:rsid w:val="017A6282"/>
    <w:rsid w:val="017D283D"/>
    <w:rsid w:val="01836D6F"/>
    <w:rsid w:val="018A1316"/>
    <w:rsid w:val="018C141B"/>
    <w:rsid w:val="018D3B10"/>
    <w:rsid w:val="019621B7"/>
    <w:rsid w:val="01965BE3"/>
    <w:rsid w:val="019B31EC"/>
    <w:rsid w:val="01A10B4A"/>
    <w:rsid w:val="01A5580E"/>
    <w:rsid w:val="01A92BDD"/>
    <w:rsid w:val="01AB1190"/>
    <w:rsid w:val="01AE603F"/>
    <w:rsid w:val="01B37AB2"/>
    <w:rsid w:val="01C03267"/>
    <w:rsid w:val="01C230B8"/>
    <w:rsid w:val="01C605AA"/>
    <w:rsid w:val="01C77E59"/>
    <w:rsid w:val="01CC7635"/>
    <w:rsid w:val="01D63E85"/>
    <w:rsid w:val="01DC352B"/>
    <w:rsid w:val="01E06988"/>
    <w:rsid w:val="01ED283C"/>
    <w:rsid w:val="01F077B9"/>
    <w:rsid w:val="01F61B27"/>
    <w:rsid w:val="01FB375F"/>
    <w:rsid w:val="01FB73D0"/>
    <w:rsid w:val="01FC180E"/>
    <w:rsid w:val="02093AA7"/>
    <w:rsid w:val="02096EC3"/>
    <w:rsid w:val="020E4504"/>
    <w:rsid w:val="020F764C"/>
    <w:rsid w:val="021C7830"/>
    <w:rsid w:val="021F0CA0"/>
    <w:rsid w:val="02212EAD"/>
    <w:rsid w:val="022D636D"/>
    <w:rsid w:val="02324E64"/>
    <w:rsid w:val="02364DC1"/>
    <w:rsid w:val="023A05F3"/>
    <w:rsid w:val="023C3CCA"/>
    <w:rsid w:val="023E16D3"/>
    <w:rsid w:val="023F172E"/>
    <w:rsid w:val="024021E8"/>
    <w:rsid w:val="024047D5"/>
    <w:rsid w:val="02431581"/>
    <w:rsid w:val="024438C6"/>
    <w:rsid w:val="024A3435"/>
    <w:rsid w:val="024B6B6F"/>
    <w:rsid w:val="024D21CD"/>
    <w:rsid w:val="024F2105"/>
    <w:rsid w:val="02582092"/>
    <w:rsid w:val="0258386E"/>
    <w:rsid w:val="026B2AD2"/>
    <w:rsid w:val="02750052"/>
    <w:rsid w:val="027837DE"/>
    <w:rsid w:val="027C24F6"/>
    <w:rsid w:val="028575FB"/>
    <w:rsid w:val="028909D6"/>
    <w:rsid w:val="029679BC"/>
    <w:rsid w:val="02A175C2"/>
    <w:rsid w:val="02A27389"/>
    <w:rsid w:val="02A7092C"/>
    <w:rsid w:val="02A76EA9"/>
    <w:rsid w:val="02A86E51"/>
    <w:rsid w:val="02AB2C40"/>
    <w:rsid w:val="02AE4D11"/>
    <w:rsid w:val="02B130CC"/>
    <w:rsid w:val="02B92045"/>
    <w:rsid w:val="02DB0B28"/>
    <w:rsid w:val="02E02377"/>
    <w:rsid w:val="02E6622A"/>
    <w:rsid w:val="02EF2BD9"/>
    <w:rsid w:val="02FD685C"/>
    <w:rsid w:val="02FE1264"/>
    <w:rsid w:val="03056F8E"/>
    <w:rsid w:val="030736A8"/>
    <w:rsid w:val="030F5E0C"/>
    <w:rsid w:val="03133069"/>
    <w:rsid w:val="03176F63"/>
    <w:rsid w:val="0318176C"/>
    <w:rsid w:val="03187EF2"/>
    <w:rsid w:val="031C7AD1"/>
    <w:rsid w:val="031E00BE"/>
    <w:rsid w:val="03224907"/>
    <w:rsid w:val="032258E3"/>
    <w:rsid w:val="03243C92"/>
    <w:rsid w:val="03261A17"/>
    <w:rsid w:val="03277143"/>
    <w:rsid w:val="032B47ED"/>
    <w:rsid w:val="032C7F7D"/>
    <w:rsid w:val="032D3872"/>
    <w:rsid w:val="03337AA5"/>
    <w:rsid w:val="033F4641"/>
    <w:rsid w:val="033F720D"/>
    <w:rsid w:val="034172CD"/>
    <w:rsid w:val="03507EAD"/>
    <w:rsid w:val="03584D66"/>
    <w:rsid w:val="035A62F4"/>
    <w:rsid w:val="035C6E35"/>
    <w:rsid w:val="035D19F8"/>
    <w:rsid w:val="035D4AE1"/>
    <w:rsid w:val="035D7B53"/>
    <w:rsid w:val="03604F68"/>
    <w:rsid w:val="03683FB7"/>
    <w:rsid w:val="036A3E22"/>
    <w:rsid w:val="03705D7C"/>
    <w:rsid w:val="037273A0"/>
    <w:rsid w:val="0379761D"/>
    <w:rsid w:val="037F5509"/>
    <w:rsid w:val="03822D46"/>
    <w:rsid w:val="03860133"/>
    <w:rsid w:val="03967366"/>
    <w:rsid w:val="03973A17"/>
    <w:rsid w:val="03984661"/>
    <w:rsid w:val="039B56AB"/>
    <w:rsid w:val="039F742C"/>
    <w:rsid w:val="03A836A4"/>
    <w:rsid w:val="03AA0E0B"/>
    <w:rsid w:val="03AB0100"/>
    <w:rsid w:val="03AE03ED"/>
    <w:rsid w:val="03B022C7"/>
    <w:rsid w:val="03B41943"/>
    <w:rsid w:val="03B42918"/>
    <w:rsid w:val="03B70660"/>
    <w:rsid w:val="03B768EE"/>
    <w:rsid w:val="03BC14CC"/>
    <w:rsid w:val="03BE4466"/>
    <w:rsid w:val="03C36A9F"/>
    <w:rsid w:val="03C43BA5"/>
    <w:rsid w:val="03C73BC2"/>
    <w:rsid w:val="03C811D1"/>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F59CC"/>
    <w:rsid w:val="042119E5"/>
    <w:rsid w:val="042D7448"/>
    <w:rsid w:val="04365440"/>
    <w:rsid w:val="04366FB2"/>
    <w:rsid w:val="043B1EB0"/>
    <w:rsid w:val="043F73B7"/>
    <w:rsid w:val="044046F7"/>
    <w:rsid w:val="044527DA"/>
    <w:rsid w:val="04532E5B"/>
    <w:rsid w:val="045706F4"/>
    <w:rsid w:val="04597D32"/>
    <w:rsid w:val="045E3E24"/>
    <w:rsid w:val="0467131C"/>
    <w:rsid w:val="04740CAB"/>
    <w:rsid w:val="047C7418"/>
    <w:rsid w:val="047F211F"/>
    <w:rsid w:val="04921B49"/>
    <w:rsid w:val="049377A7"/>
    <w:rsid w:val="04970C3A"/>
    <w:rsid w:val="04AD5427"/>
    <w:rsid w:val="04B31C9E"/>
    <w:rsid w:val="04B773EC"/>
    <w:rsid w:val="04CE5DAA"/>
    <w:rsid w:val="04D06A94"/>
    <w:rsid w:val="04D822DA"/>
    <w:rsid w:val="04E251E1"/>
    <w:rsid w:val="04E5192B"/>
    <w:rsid w:val="04E55A04"/>
    <w:rsid w:val="04E951BC"/>
    <w:rsid w:val="04F83880"/>
    <w:rsid w:val="04FB32C2"/>
    <w:rsid w:val="0507209B"/>
    <w:rsid w:val="050B6335"/>
    <w:rsid w:val="0510022D"/>
    <w:rsid w:val="0510798F"/>
    <w:rsid w:val="05161306"/>
    <w:rsid w:val="051C3FC7"/>
    <w:rsid w:val="051C6040"/>
    <w:rsid w:val="051D72AB"/>
    <w:rsid w:val="052A53FB"/>
    <w:rsid w:val="05372C11"/>
    <w:rsid w:val="053C7BE5"/>
    <w:rsid w:val="054A11F0"/>
    <w:rsid w:val="054D1171"/>
    <w:rsid w:val="05511F04"/>
    <w:rsid w:val="05570220"/>
    <w:rsid w:val="055E1C97"/>
    <w:rsid w:val="056460C8"/>
    <w:rsid w:val="05682B24"/>
    <w:rsid w:val="05722307"/>
    <w:rsid w:val="057B068F"/>
    <w:rsid w:val="057D13E0"/>
    <w:rsid w:val="057D208E"/>
    <w:rsid w:val="057E2E99"/>
    <w:rsid w:val="058162F2"/>
    <w:rsid w:val="058745B2"/>
    <w:rsid w:val="058B1C46"/>
    <w:rsid w:val="058C5F4A"/>
    <w:rsid w:val="058D33C5"/>
    <w:rsid w:val="058E4F3F"/>
    <w:rsid w:val="059E20A2"/>
    <w:rsid w:val="05A61B3E"/>
    <w:rsid w:val="05A77370"/>
    <w:rsid w:val="05CE76FB"/>
    <w:rsid w:val="05D679BE"/>
    <w:rsid w:val="05D93F31"/>
    <w:rsid w:val="05D96B45"/>
    <w:rsid w:val="05DD5E93"/>
    <w:rsid w:val="05DE43E0"/>
    <w:rsid w:val="05DF563A"/>
    <w:rsid w:val="05E11CE0"/>
    <w:rsid w:val="05E72ED3"/>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B32C2"/>
    <w:rsid w:val="068B6B45"/>
    <w:rsid w:val="069561E9"/>
    <w:rsid w:val="069A1A61"/>
    <w:rsid w:val="069B6E98"/>
    <w:rsid w:val="069C44CD"/>
    <w:rsid w:val="06AB1DFD"/>
    <w:rsid w:val="06AB26A7"/>
    <w:rsid w:val="06B74133"/>
    <w:rsid w:val="06C31A1F"/>
    <w:rsid w:val="06C453F9"/>
    <w:rsid w:val="06C62533"/>
    <w:rsid w:val="06C82DD0"/>
    <w:rsid w:val="06CB06AF"/>
    <w:rsid w:val="06DA77D3"/>
    <w:rsid w:val="06DC48E2"/>
    <w:rsid w:val="06E20C84"/>
    <w:rsid w:val="06F26E20"/>
    <w:rsid w:val="06F81E01"/>
    <w:rsid w:val="06FA23A7"/>
    <w:rsid w:val="06FB1578"/>
    <w:rsid w:val="0700756B"/>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D52E7"/>
    <w:rsid w:val="07350CA3"/>
    <w:rsid w:val="07392E0B"/>
    <w:rsid w:val="073B0379"/>
    <w:rsid w:val="073F1FDF"/>
    <w:rsid w:val="07447DDE"/>
    <w:rsid w:val="07505939"/>
    <w:rsid w:val="075460A8"/>
    <w:rsid w:val="07560AAB"/>
    <w:rsid w:val="076931E4"/>
    <w:rsid w:val="076D415D"/>
    <w:rsid w:val="07703155"/>
    <w:rsid w:val="07713D9D"/>
    <w:rsid w:val="077330B7"/>
    <w:rsid w:val="07743668"/>
    <w:rsid w:val="07756E39"/>
    <w:rsid w:val="07772C03"/>
    <w:rsid w:val="077738E6"/>
    <w:rsid w:val="077F0549"/>
    <w:rsid w:val="07815D85"/>
    <w:rsid w:val="0786674C"/>
    <w:rsid w:val="07880BDC"/>
    <w:rsid w:val="078D38BB"/>
    <w:rsid w:val="07954213"/>
    <w:rsid w:val="07984F47"/>
    <w:rsid w:val="079A211D"/>
    <w:rsid w:val="07AF6186"/>
    <w:rsid w:val="07B342C4"/>
    <w:rsid w:val="07D52794"/>
    <w:rsid w:val="07D81217"/>
    <w:rsid w:val="07D87F92"/>
    <w:rsid w:val="07DF0451"/>
    <w:rsid w:val="07E0102A"/>
    <w:rsid w:val="07E872CB"/>
    <w:rsid w:val="07EB6A03"/>
    <w:rsid w:val="07F20F15"/>
    <w:rsid w:val="07F4148B"/>
    <w:rsid w:val="07F52B60"/>
    <w:rsid w:val="07F60F40"/>
    <w:rsid w:val="07F95C38"/>
    <w:rsid w:val="07FB67AC"/>
    <w:rsid w:val="07FF32B3"/>
    <w:rsid w:val="08015D0A"/>
    <w:rsid w:val="080E2AA4"/>
    <w:rsid w:val="081100F4"/>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6015DD"/>
    <w:rsid w:val="08670351"/>
    <w:rsid w:val="086D1825"/>
    <w:rsid w:val="08713A8E"/>
    <w:rsid w:val="08760D65"/>
    <w:rsid w:val="08786CAE"/>
    <w:rsid w:val="087D07B1"/>
    <w:rsid w:val="088B2800"/>
    <w:rsid w:val="088D3DB3"/>
    <w:rsid w:val="089248A3"/>
    <w:rsid w:val="08A14169"/>
    <w:rsid w:val="08AB7ED7"/>
    <w:rsid w:val="08AF3AE8"/>
    <w:rsid w:val="08B32027"/>
    <w:rsid w:val="08BB173B"/>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F6975"/>
    <w:rsid w:val="09204DFE"/>
    <w:rsid w:val="092760A2"/>
    <w:rsid w:val="092D6FEC"/>
    <w:rsid w:val="092F0069"/>
    <w:rsid w:val="092F4A13"/>
    <w:rsid w:val="09310D62"/>
    <w:rsid w:val="093F1597"/>
    <w:rsid w:val="09441620"/>
    <w:rsid w:val="09441EEA"/>
    <w:rsid w:val="09556E1F"/>
    <w:rsid w:val="09595A8E"/>
    <w:rsid w:val="095A3ACC"/>
    <w:rsid w:val="095C31CB"/>
    <w:rsid w:val="09635095"/>
    <w:rsid w:val="096B63AD"/>
    <w:rsid w:val="09734468"/>
    <w:rsid w:val="097431C6"/>
    <w:rsid w:val="098A3F5C"/>
    <w:rsid w:val="098D6520"/>
    <w:rsid w:val="0995101E"/>
    <w:rsid w:val="0997788D"/>
    <w:rsid w:val="099B0B00"/>
    <w:rsid w:val="099B6FCD"/>
    <w:rsid w:val="09A27ADB"/>
    <w:rsid w:val="09A86C79"/>
    <w:rsid w:val="09AB5269"/>
    <w:rsid w:val="09B50809"/>
    <w:rsid w:val="09B973BD"/>
    <w:rsid w:val="09BB12F9"/>
    <w:rsid w:val="09C57A4C"/>
    <w:rsid w:val="09C60820"/>
    <w:rsid w:val="09C9420F"/>
    <w:rsid w:val="09D016B0"/>
    <w:rsid w:val="09D41824"/>
    <w:rsid w:val="09DA09DB"/>
    <w:rsid w:val="09E37F8B"/>
    <w:rsid w:val="09E73CAA"/>
    <w:rsid w:val="09F01BDC"/>
    <w:rsid w:val="09F05FD9"/>
    <w:rsid w:val="09F5481F"/>
    <w:rsid w:val="09F66132"/>
    <w:rsid w:val="09FA4305"/>
    <w:rsid w:val="09FC5A06"/>
    <w:rsid w:val="09FD7AC1"/>
    <w:rsid w:val="0A087C59"/>
    <w:rsid w:val="0A0A4421"/>
    <w:rsid w:val="0A0C5AD4"/>
    <w:rsid w:val="0A0D3E6C"/>
    <w:rsid w:val="0A0D5D35"/>
    <w:rsid w:val="0A0F1328"/>
    <w:rsid w:val="0A137D08"/>
    <w:rsid w:val="0A195E24"/>
    <w:rsid w:val="0A1E1938"/>
    <w:rsid w:val="0A1E4221"/>
    <w:rsid w:val="0A265ED2"/>
    <w:rsid w:val="0A2A6909"/>
    <w:rsid w:val="0A3723FB"/>
    <w:rsid w:val="0A37750E"/>
    <w:rsid w:val="0A411659"/>
    <w:rsid w:val="0A4366FB"/>
    <w:rsid w:val="0A452965"/>
    <w:rsid w:val="0A4A59C9"/>
    <w:rsid w:val="0A5457B3"/>
    <w:rsid w:val="0A565E7D"/>
    <w:rsid w:val="0A57184A"/>
    <w:rsid w:val="0A5A056E"/>
    <w:rsid w:val="0A5B32E2"/>
    <w:rsid w:val="0A5E7B47"/>
    <w:rsid w:val="0A6C1718"/>
    <w:rsid w:val="0A712253"/>
    <w:rsid w:val="0A751BB2"/>
    <w:rsid w:val="0A77426F"/>
    <w:rsid w:val="0A79542C"/>
    <w:rsid w:val="0A7D1D2F"/>
    <w:rsid w:val="0A8904FD"/>
    <w:rsid w:val="0A904D0B"/>
    <w:rsid w:val="0A916E1D"/>
    <w:rsid w:val="0A9774A5"/>
    <w:rsid w:val="0A9B1CF2"/>
    <w:rsid w:val="0AA27AC1"/>
    <w:rsid w:val="0AA738E8"/>
    <w:rsid w:val="0AAA4BCB"/>
    <w:rsid w:val="0AAC5BDF"/>
    <w:rsid w:val="0AB016C2"/>
    <w:rsid w:val="0AB07F15"/>
    <w:rsid w:val="0AB11671"/>
    <w:rsid w:val="0AB2374D"/>
    <w:rsid w:val="0ABB622B"/>
    <w:rsid w:val="0ABD2945"/>
    <w:rsid w:val="0ABD5EB4"/>
    <w:rsid w:val="0ABF214E"/>
    <w:rsid w:val="0AC11D6C"/>
    <w:rsid w:val="0AC4272A"/>
    <w:rsid w:val="0AC51A47"/>
    <w:rsid w:val="0AC93231"/>
    <w:rsid w:val="0AD7243D"/>
    <w:rsid w:val="0AD73ACA"/>
    <w:rsid w:val="0AD829A8"/>
    <w:rsid w:val="0ADC5D23"/>
    <w:rsid w:val="0AE23DA6"/>
    <w:rsid w:val="0AEA7232"/>
    <w:rsid w:val="0AF44695"/>
    <w:rsid w:val="0AFF04EF"/>
    <w:rsid w:val="0AFF28BB"/>
    <w:rsid w:val="0B070072"/>
    <w:rsid w:val="0B080C34"/>
    <w:rsid w:val="0B096705"/>
    <w:rsid w:val="0B110BE9"/>
    <w:rsid w:val="0B1C4BBB"/>
    <w:rsid w:val="0B1F01C1"/>
    <w:rsid w:val="0B2110B3"/>
    <w:rsid w:val="0B300128"/>
    <w:rsid w:val="0B3171CB"/>
    <w:rsid w:val="0B3276E8"/>
    <w:rsid w:val="0B354623"/>
    <w:rsid w:val="0B5355EB"/>
    <w:rsid w:val="0B581A82"/>
    <w:rsid w:val="0B62077D"/>
    <w:rsid w:val="0B633BD1"/>
    <w:rsid w:val="0B67076C"/>
    <w:rsid w:val="0B6A4660"/>
    <w:rsid w:val="0B6B2BC3"/>
    <w:rsid w:val="0B6C09A7"/>
    <w:rsid w:val="0B7E5B00"/>
    <w:rsid w:val="0B8650E8"/>
    <w:rsid w:val="0B940F71"/>
    <w:rsid w:val="0B9B3F6E"/>
    <w:rsid w:val="0B9C5B24"/>
    <w:rsid w:val="0B9F136F"/>
    <w:rsid w:val="0BA4493F"/>
    <w:rsid w:val="0BA94B42"/>
    <w:rsid w:val="0BAC7903"/>
    <w:rsid w:val="0BB506BE"/>
    <w:rsid w:val="0BC512D1"/>
    <w:rsid w:val="0BC579DC"/>
    <w:rsid w:val="0BC61946"/>
    <w:rsid w:val="0BC94107"/>
    <w:rsid w:val="0BC94B37"/>
    <w:rsid w:val="0BCA21C2"/>
    <w:rsid w:val="0BD254C0"/>
    <w:rsid w:val="0BD43488"/>
    <w:rsid w:val="0BDD1E37"/>
    <w:rsid w:val="0BE1620F"/>
    <w:rsid w:val="0BE376C6"/>
    <w:rsid w:val="0BE7693E"/>
    <w:rsid w:val="0BEB39E4"/>
    <w:rsid w:val="0BF00B65"/>
    <w:rsid w:val="0BF33C47"/>
    <w:rsid w:val="0C0E4E46"/>
    <w:rsid w:val="0C131F97"/>
    <w:rsid w:val="0C1A2934"/>
    <w:rsid w:val="0C20567B"/>
    <w:rsid w:val="0C392883"/>
    <w:rsid w:val="0C405D6F"/>
    <w:rsid w:val="0C43314A"/>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F5547"/>
    <w:rsid w:val="0C88242D"/>
    <w:rsid w:val="0C890FD6"/>
    <w:rsid w:val="0C943D4F"/>
    <w:rsid w:val="0C95588B"/>
    <w:rsid w:val="0C9660F9"/>
    <w:rsid w:val="0C985710"/>
    <w:rsid w:val="0C991EF7"/>
    <w:rsid w:val="0C9B2D68"/>
    <w:rsid w:val="0CA4698B"/>
    <w:rsid w:val="0CA82CB9"/>
    <w:rsid w:val="0CAB29E1"/>
    <w:rsid w:val="0CAC5333"/>
    <w:rsid w:val="0CB607E1"/>
    <w:rsid w:val="0CB76AF5"/>
    <w:rsid w:val="0CBB0A35"/>
    <w:rsid w:val="0CBD71E9"/>
    <w:rsid w:val="0CC15B44"/>
    <w:rsid w:val="0CC3200E"/>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A50B4"/>
    <w:rsid w:val="0D514530"/>
    <w:rsid w:val="0D521205"/>
    <w:rsid w:val="0D5960E0"/>
    <w:rsid w:val="0D5F33A1"/>
    <w:rsid w:val="0D701250"/>
    <w:rsid w:val="0D7344C8"/>
    <w:rsid w:val="0D747D20"/>
    <w:rsid w:val="0D763116"/>
    <w:rsid w:val="0D830CBD"/>
    <w:rsid w:val="0D8B1980"/>
    <w:rsid w:val="0D8B481D"/>
    <w:rsid w:val="0D9C6CA1"/>
    <w:rsid w:val="0D9D493D"/>
    <w:rsid w:val="0DA25C8E"/>
    <w:rsid w:val="0DAD1AC0"/>
    <w:rsid w:val="0DAF3CAF"/>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97EBA"/>
    <w:rsid w:val="0E4D1CC0"/>
    <w:rsid w:val="0E546C25"/>
    <w:rsid w:val="0E5733FF"/>
    <w:rsid w:val="0E573BA8"/>
    <w:rsid w:val="0E601A39"/>
    <w:rsid w:val="0E636E0B"/>
    <w:rsid w:val="0E68251E"/>
    <w:rsid w:val="0E6A1083"/>
    <w:rsid w:val="0E73084B"/>
    <w:rsid w:val="0E7C2C51"/>
    <w:rsid w:val="0E845D64"/>
    <w:rsid w:val="0E8E2DF0"/>
    <w:rsid w:val="0E8E5DF5"/>
    <w:rsid w:val="0E8F0596"/>
    <w:rsid w:val="0E987200"/>
    <w:rsid w:val="0E9C25AC"/>
    <w:rsid w:val="0EA63762"/>
    <w:rsid w:val="0EA870CD"/>
    <w:rsid w:val="0EAC56A2"/>
    <w:rsid w:val="0EBA588B"/>
    <w:rsid w:val="0EBC786E"/>
    <w:rsid w:val="0EC23ABC"/>
    <w:rsid w:val="0EC26502"/>
    <w:rsid w:val="0EE7750F"/>
    <w:rsid w:val="0EEC1D1E"/>
    <w:rsid w:val="0EEE6E1F"/>
    <w:rsid w:val="0EF90571"/>
    <w:rsid w:val="0EFF6DCF"/>
    <w:rsid w:val="0F04797F"/>
    <w:rsid w:val="0F084EE2"/>
    <w:rsid w:val="0F0A7753"/>
    <w:rsid w:val="0F0C33FD"/>
    <w:rsid w:val="0F160F39"/>
    <w:rsid w:val="0F1767F9"/>
    <w:rsid w:val="0F1771A9"/>
    <w:rsid w:val="0F1C4BBB"/>
    <w:rsid w:val="0F247889"/>
    <w:rsid w:val="0F2604D0"/>
    <w:rsid w:val="0F266366"/>
    <w:rsid w:val="0F286098"/>
    <w:rsid w:val="0F2C209F"/>
    <w:rsid w:val="0F3A4528"/>
    <w:rsid w:val="0F3F5105"/>
    <w:rsid w:val="0F475E79"/>
    <w:rsid w:val="0F492AD4"/>
    <w:rsid w:val="0F4C4091"/>
    <w:rsid w:val="0F526E9F"/>
    <w:rsid w:val="0F5874E6"/>
    <w:rsid w:val="0F5B1587"/>
    <w:rsid w:val="0F5C2EB3"/>
    <w:rsid w:val="0F5E48AF"/>
    <w:rsid w:val="0F612C86"/>
    <w:rsid w:val="0F700FB9"/>
    <w:rsid w:val="0F7A4198"/>
    <w:rsid w:val="0F7E149C"/>
    <w:rsid w:val="0F852C02"/>
    <w:rsid w:val="0F884C38"/>
    <w:rsid w:val="0F8B1C07"/>
    <w:rsid w:val="0F8F5DB9"/>
    <w:rsid w:val="0F962727"/>
    <w:rsid w:val="0F9B5C4D"/>
    <w:rsid w:val="0FA05C5E"/>
    <w:rsid w:val="0FA35623"/>
    <w:rsid w:val="0FA951CB"/>
    <w:rsid w:val="0FAA7A9A"/>
    <w:rsid w:val="0FAC498C"/>
    <w:rsid w:val="0FB97CF0"/>
    <w:rsid w:val="0FBB32BC"/>
    <w:rsid w:val="0FC03CBD"/>
    <w:rsid w:val="0FC11DF0"/>
    <w:rsid w:val="0FC64E19"/>
    <w:rsid w:val="0FD4584B"/>
    <w:rsid w:val="0FD46C98"/>
    <w:rsid w:val="0FD72CB8"/>
    <w:rsid w:val="0FDB72B0"/>
    <w:rsid w:val="0FE5349E"/>
    <w:rsid w:val="0FE847C8"/>
    <w:rsid w:val="0FF04B4F"/>
    <w:rsid w:val="0FF32CF0"/>
    <w:rsid w:val="0FF91941"/>
    <w:rsid w:val="1005685C"/>
    <w:rsid w:val="10061697"/>
    <w:rsid w:val="100A2D6F"/>
    <w:rsid w:val="100C51AD"/>
    <w:rsid w:val="100D174B"/>
    <w:rsid w:val="1010549F"/>
    <w:rsid w:val="10145E18"/>
    <w:rsid w:val="10175238"/>
    <w:rsid w:val="10197CA4"/>
    <w:rsid w:val="101B0376"/>
    <w:rsid w:val="101E6D08"/>
    <w:rsid w:val="10233686"/>
    <w:rsid w:val="102C36D4"/>
    <w:rsid w:val="1031370F"/>
    <w:rsid w:val="10323E67"/>
    <w:rsid w:val="10396F61"/>
    <w:rsid w:val="104166B0"/>
    <w:rsid w:val="104436B8"/>
    <w:rsid w:val="10495A84"/>
    <w:rsid w:val="105064E8"/>
    <w:rsid w:val="10542CF6"/>
    <w:rsid w:val="10635536"/>
    <w:rsid w:val="106A0A00"/>
    <w:rsid w:val="106F48C4"/>
    <w:rsid w:val="107735CC"/>
    <w:rsid w:val="10783DC2"/>
    <w:rsid w:val="108E4283"/>
    <w:rsid w:val="10987768"/>
    <w:rsid w:val="109B6262"/>
    <w:rsid w:val="10B96A3B"/>
    <w:rsid w:val="10CE07DA"/>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2103C5"/>
    <w:rsid w:val="1125568E"/>
    <w:rsid w:val="113E229D"/>
    <w:rsid w:val="113E6EF7"/>
    <w:rsid w:val="113F1A85"/>
    <w:rsid w:val="11402B56"/>
    <w:rsid w:val="11417B00"/>
    <w:rsid w:val="11424EC5"/>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43F1E"/>
    <w:rsid w:val="1197723B"/>
    <w:rsid w:val="119F2B47"/>
    <w:rsid w:val="11A67383"/>
    <w:rsid w:val="11B05A60"/>
    <w:rsid w:val="11BC664B"/>
    <w:rsid w:val="11BF56EF"/>
    <w:rsid w:val="11C846B5"/>
    <w:rsid w:val="11C909CA"/>
    <w:rsid w:val="11C936A2"/>
    <w:rsid w:val="11D93CCB"/>
    <w:rsid w:val="11EB14B4"/>
    <w:rsid w:val="11F31D4A"/>
    <w:rsid w:val="11FA3ACF"/>
    <w:rsid w:val="11FE7FA9"/>
    <w:rsid w:val="12015323"/>
    <w:rsid w:val="12025423"/>
    <w:rsid w:val="1206121A"/>
    <w:rsid w:val="1209251A"/>
    <w:rsid w:val="12194EB2"/>
    <w:rsid w:val="121A10A0"/>
    <w:rsid w:val="122605E2"/>
    <w:rsid w:val="122A4C9F"/>
    <w:rsid w:val="12332CE2"/>
    <w:rsid w:val="12376283"/>
    <w:rsid w:val="123E2CA3"/>
    <w:rsid w:val="124E6485"/>
    <w:rsid w:val="12550EAE"/>
    <w:rsid w:val="12627A41"/>
    <w:rsid w:val="12647704"/>
    <w:rsid w:val="12663A63"/>
    <w:rsid w:val="12670745"/>
    <w:rsid w:val="126B3428"/>
    <w:rsid w:val="127B706D"/>
    <w:rsid w:val="127C1D27"/>
    <w:rsid w:val="127D11AD"/>
    <w:rsid w:val="12822706"/>
    <w:rsid w:val="12835AED"/>
    <w:rsid w:val="128E3209"/>
    <w:rsid w:val="12A53CFF"/>
    <w:rsid w:val="12A9605F"/>
    <w:rsid w:val="12AF442E"/>
    <w:rsid w:val="12B21F52"/>
    <w:rsid w:val="12B32A37"/>
    <w:rsid w:val="12C20883"/>
    <w:rsid w:val="12CB538A"/>
    <w:rsid w:val="12CD1DC9"/>
    <w:rsid w:val="12D43973"/>
    <w:rsid w:val="12E27109"/>
    <w:rsid w:val="12E77AD7"/>
    <w:rsid w:val="12E94E33"/>
    <w:rsid w:val="12EA0359"/>
    <w:rsid w:val="12F9591A"/>
    <w:rsid w:val="130B1D8A"/>
    <w:rsid w:val="131358FB"/>
    <w:rsid w:val="13173505"/>
    <w:rsid w:val="131F3AD2"/>
    <w:rsid w:val="13293EE0"/>
    <w:rsid w:val="133025EA"/>
    <w:rsid w:val="13304676"/>
    <w:rsid w:val="13326762"/>
    <w:rsid w:val="133657BA"/>
    <w:rsid w:val="133E3DD1"/>
    <w:rsid w:val="13403B28"/>
    <w:rsid w:val="13445DA5"/>
    <w:rsid w:val="13481951"/>
    <w:rsid w:val="1348475C"/>
    <w:rsid w:val="134D10D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8164BF"/>
    <w:rsid w:val="13873F07"/>
    <w:rsid w:val="138C236B"/>
    <w:rsid w:val="13905FA2"/>
    <w:rsid w:val="139C4E65"/>
    <w:rsid w:val="139E263E"/>
    <w:rsid w:val="13A3399C"/>
    <w:rsid w:val="13AC5BEA"/>
    <w:rsid w:val="13B03731"/>
    <w:rsid w:val="13B2406D"/>
    <w:rsid w:val="13BC433D"/>
    <w:rsid w:val="13C80714"/>
    <w:rsid w:val="13CC3DEC"/>
    <w:rsid w:val="13CE4DFF"/>
    <w:rsid w:val="13D129B7"/>
    <w:rsid w:val="13D209DD"/>
    <w:rsid w:val="13D7766B"/>
    <w:rsid w:val="13D973FD"/>
    <w:rsid w:val="13E4728B"/>
    <w:rsid w:val="13EA1294"/>
    <w:rsid w:val="13F27113"/>
    <w:rsid w:val="13F3515A"/>
    <w:rsid w:val="13F41217"/>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3708E"/>
    <w:rsid w:val="146B6E05"/>
    <w:rsid w:val="146B7D91"/>
    <w:rsid w:val="146C1DB3"/>
    <w:rsid w:val="146F7A4D"/>
    <w:rsid w:val="14723ADA"/>
    <w:rsid w:val="14747B9D"/>
    <w:rsid w:val="147920CA"/>
    <w:rsid w:val="147B72FE"/>
    <w:rsid w:val="148141E2"/>
    <w:rsid w:val="14822007"/>
    <w:rsid w:val="14884F90"/>
    <w:rsid w:val="148B705D"/>
    <w:rsid w:val="148B7957"/>
    <w:rsid w:val="148F04C6"/>
    <w:rsid w:val="1497510D"/>
    <w:rsid w:val="149D4997"/>
    <w:rsid w:val="14A04F69"/>
    <w:rsid w:val="14A10588"/>
    <w:rsid w:val="14A11363"/>
    <w:rsid w:val="14A56052"/>
    <w:rsid w:val="14A862B6"/>
    <w:rsid w:val="14A87888"/>
    <w:rsid w:val="14AA6172"/>
    <w:rsid w:val="14AC283B"/>
    <w:rsid w:val="14B071EA"/>
    <w:rsid w:val="14BD5CC4"/>
    <w:rsid w:val="14C42409"/>
    <w:rsid w:val="14C510C3"/>
    <w:rsid w:val="14CC3E85"/>
    <w:rsid w:val="14E1264D"/>
    <w:rsid w:val="14E93B9B"/>
    <w:rsid w:val="14EC0CCF"/>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4038B4"/>
    <w:rsid w:val="15412A0C"/>
    <w:rsid w:val="15490027"/>
    <w:rsid w:val="154A24A2"/>
    <w:rsid w:val="154B4C76"/>
    <w:rsid w:val="154C5CB0"/>
    <w:rsid w:val="154D33D0"/>
    <w:rsid w:val="15536C61"/>
    <w:rsid w:val="15537EDD"/>
    <w:rsid w:val="155E2BED"/>
    <w:rsid w:val="156030EC"/>
    <w:rsid w:val="15615604"/>
    <w:rsid w:val="15672A63"/>
    <w:rsid w:val="156B3683"/>
    <w:rsid w:val="156D05EA"/>
    <w:rsid w:val="157B5E01"/>
    <w:rsid w:val="157B7672"/>
    <w:rsid w:val="157C0E9E"/>
    <w:rsid w:val="15822789"/>
    <w:rsid w:val="1587473D"/>
    <w:rsid w:val="158B3505"/>
    <w:rsid w:val="159668BE"/>
    <w:rsid w:val="159C7418"/>
    <w:rsid w:val="15A50240"/>
    <w:rsid w:val="15A730AB"/>
    <w:rsid w:val="15B0182F"/>
    <w:rsid w:val="15B27CF5"/>
    <w:rsid w:val="15B3688A"/>
    <w:rsid w:val="15BD3CA1"/>
    <w:rsid w:val="15BE5020"/>
    <w:rsid w:val="15C44867"/>
    <w:rsid w:val="15C47F25"/>
    <w:rsid w:val="15D46B42"/>
    <w:rsid w:val="15D916B7"/>
    <w:rsid w:val="15E70479"/>
    <w:rsid w:val="15EE6110"/>
    <w:rsid w:val="15EF6C75"/>
    <w:rsid w:val="15FA46E2"/>
    <w:rsid w:val="15FE0588"/>
    <w:rsid w:val="1606047C"/>
    <w:rsid w:val="160624F4"/>
    <w:rsid w:val="16070A35"/>
    <w:rsid w:val="160848A2"/>
    <w:rsid w:val="16105B54"/>
    <w:rsid w:val="161204DB"/>
    <w:rsid w:val="1614006C"/>
    <w:rsid w:val="16140FF8"/>
    <w:rsid w:val="162022AB"/>
    <w:rsid w:val="16210419"/>
    <w:rsid w:val="1624223A"/>
    <w:rsid w:val="16257DAC"/>
    <w:rsid w:val="16291BB7"/>
    <w:rsid w:val="162937CE"/>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80662"/>
    <w:rsid w:val="16907274"/>
    <w:rsid w:val="16A6051D"/>
    <w:rsid w:val="16A77043"/>
    <w:rsid w:val="16B1062A"/>
    <w:rsid w:val="16B90F31"/>
    <w:rsid w:val="16C21340"/>
    <w:rsid w:val="16C47616"/>
    <w:rsid w:val="16C740C5"/>
    <w:rsid w:val="16C80034"/>
    <w:rsid w:val="16D001FE"/>
    <w:rsid w:val="16D836B2"/>
    <w:rsid w:val="16D85958"/>
    <w:rsid w:val="16DB00D8"/>
    <w:rsid w:val="16DC57CC"/>
    <w:rsid w:val="16DF0094"/>
    <w:rsid w:val="16E03EED"/>
    <w:rsid w:val="16ED5E20"/>
    <w:rsid w:val="16F12924"/>
    <w:rsid w:val="16F820C0"/>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504DE5"/>
    <w:rsid w:val="17541C88"/>
    <w:rsid w:val="17546383"/>
    <w:rsid w:val="17552078"/>
    <w:rsid w:val="17552BBE"/>
    <w:rsid w:val="175F1F79"/>
    <w:rsid w:val="17607EDC"/>
    <w:rsid w:val="1761643B"/>
    <w:rsid w:val="1765372D"/>
    <w:rsid w:val="1776290F"/>
    <w:rsid w:val="1778040D"/>
    <w:rsid w:val="177C4BFD"/>
    <w:rsid w:val="177E7C92"/>
    <w:rsid w:val="178C0BD8"/>
    <w:rsid w:val="178F1BAC"/>
    <w:rsid w:val="17911DB7"/>
    <w:rsid w:val="17923711"/>
    <w:rsid w:val="17987229"/>
    <w:rsid w:val="179A0708"/>
    <w:rsid w:val="179E28E1"/>
    <w:rsid w:val="17A022DB"/>
    <w:rsid w:val="17A2064E"/>
    <w:rsid w:val="17A340AB"/>
    <w:rsid w:val="17A34285"/>
    <w:rsid w:val="17A500B9"/>
    <w:rsid w:val="17B00BE9"/>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8613F"/>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B771D"/>
    <w:rsid w:val="186A585C"/>
    <w:rsid w:val="186C0342"/>
    <w:rsid w:val="186C19F1"/>
    <w:rsid w:val="186E121C"/>
    <w:rsid w:val="187D0B92"/>
    <w:rsid w:val="18893D17"/>
    <w:rsid w:val="188D7FF5"/>
    <w:rsid w:val="18966DD6"/>
    <w:rsid w:val="18983058"/>
    <w:rsid w:val="18984438"/>
    <w:rsid w:val="189858F5"/>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6F46"/>
    <w:rsid w:val="18F81760"/>
    <w:rsid w:val="18FB7C71"/>
    <w:rsid w:val="1906156A"/>
    <w:rsid w:val="190740B2"/>
    <w:rsid w:val="190B5294"/>
    <w:rsid w:val="19136FD5"/>
    <w:rsid w:val="191A4A7C"/>
    <w:rsid w:val="1929271F"/>
    <w:rsid w:val="192A4C95"/>
    <w:rsid w:val="19301657"/>
    <w:rsid w:val="19305E22"/>
    <w:rsid w:val="19313884"/>
    <w:rsid w:val="193A711A"/>
    <w:rsid w:val="193B6A4A"/>
    <w:rsid w:val="193E651C"/>
    <w:rsid w:val="194174BB"/>
    <w:rsid w:val="19462558"/>
    <w:rsid w:val="194C5184"/>
    <w:rsid w:val="19526D70"/>
    <w:rsid w:val="195311B7"/>
    <w:rsid w:val="19552D2E"/>
    <w:rsid w:val="195722C5"/>
    <w:rsid w:val="19581213"/>
    <w:rsid w:val="195D7A25"/>
    <w:rsid w:val="19657E50"/>
    <w:rsid w:val="19683610"/>
    <w:rsid w:val="196B503A"/>
    <w:rsid w:val="197E0545"/>
    <w:rsid w:val="198A1403"/>
    <w:rsid w:val="198B4762"/>
    <w:rsid w:val="1991274D"/>
    <w:rsid w:val="199D107F"/>
    <w:rsid w:val="199D6DCA"/>
    <w:rsid w:val="199E1C5F"/>
    <w:rsid w:val="19A104A8"/>
    <w:rsid w:val="19A14776"/>
    <w:rsid w:val="19AD33FE"/>
    <w:rsid w:val="19AD6859"/>
    <w:rsid w:val="19AE7897"/>
    <w:rsid w:val="19B44632"/>
    <w:rsid w:val="19B60076"/>
    <w:rsid w:val="19C25C1A"/>
    <w:rsid w:val="19C7224C"/>
    <w:rsid w:val="19C8660E"/>
    <w:rsid w:val="19CF372D"/>
    <w:rsid w:val="19D1031C"/>
    <w:rsid w:val="19D1466F"/>
    <w:rsid w:val="19E01C52"/>
    <w:rsid w:val="19E12E88"/>
    <w:rsid w:val="19E92B6A"/>
    <w:rsid w:val="19EC12FB"/>
    <w:rsid w:val="19EC30C6"/>
    <w:rsid w:val="19ED41CF"/>
    <w:rsid w:val="19F51FDF"/>
    <w:rsid w:val="1A0342E9"/>
    <w:rsid w:val="1A05603E"/>
    <w:rsid w:val="1A05712E"/>
    <w:rsid w:val="1A081E7F"/>
    <w:rsid w:val="1A0D0FEB"/>
    <w:rsid w:val="1A1E60F6"/>
    <w:rsid w:val="1A23285C"/>
    <w:rsid w:val="1A267DE8"/>
    <w:rsid w:val="1A2A4C26"/>
    <w:rsid w:val="1A326E19"/>
    <w:rsid w:val="1A377042"/>
    <w:rsid w:val="1A4371CF"/>
    <w:rsid w:val="1A4609B6"/>
    <w:rsid w:val="1A473086"/>
    <w:rsid w:val="1A4E21B5"/>
    <w:rsid w:val="1A5F40C6"/>
    <w:rsid w:val="1A617B0F"/>
    <w:rsid w:val="1A6662BF"/>
    <w:rsid w:val="1A6F11DE"/>
    <w:rsid w:val="1A722CFE"/>
    <w:rsid w:val="1A7322DE"/>
    <w:rsid w:val="1A7456CB"/>
    <w:rsid w:val="1A77671E"/>
    <w:rsid w:val="1A7E236B"/>
    <w:rsid w:val="1A8A4E75"/>
    <w:rsid w:val="1A8F4A54"/>
    <w:rsid w:val="1A907092"/>
    <w:rsid w:val="1A951D32"/>
    <w:rsid w:val="1A997C12"/>
    <w:rsid w:val="1AA01501"/>
    <w:rsid w:val="1AA1217C"/>
    <w:rsid w:val="1AA14158"/>
    <w:rsid w:val="1AA220AB"/>
    <w:rsid w:val="1AAC41E5"/>
    <w:rsid w:val="1AB26A04"/>
    <w:rsid w:val="1AC11AA5"/>
    <w:rsid w:val="1AC96E16"/>
    <w:rsid w:val="1ACF069E"/>
    <w:rsid w:val="1ADA542A"/>
    <w:rsid w:val="1ADB6AC4"/>
    <w:rsid w:val="1ADD2BCC"/>
    <w:rsid w:val="1AE16E0D"/>
    <w:rsid w:val="1AE30051"/>
    <w:rsid w:val="1AE36E86"/>
    <w:rsid w:val="1AE42429"/>
    <w:rsid w:val="1AEC66D4"/>
    <w:rsid w:val="1AF07FA6"/>
    <w:rsid w:val="1AF237E4"/>
    <w:rsid w:val="1AF70471"/>
    <w:rsid w:val="1AFA1697"/>
    <w:rsid w:val="1AFA4657"/>
    <w:rsid w:val="1B097051"/>
    <w:rsid w:val="1B0A221B"/>
    <w:rsid w:val="1B0A4D9C"/>
    <w:rsid w:val="1B0E7781"/>
    <w:rsid w:val="1B130214"/>
    <w:rsid w:val="1B13125B"/>
    <w:rsid w:val="1B135DAF"/>
    <w:rsid w:val="1B142AA1"/>
    <w:rsid w:val="1B2403B5"/>
    <w:rsid w:val="1B24304B"/>
    <w:rsid w:val="1B2E4F31"/>
    <w:rsid w:val="1B300A61"/>
    <w:rsid w:val="1B3421B2"/>
    <w:rsid w:val="1B376F45"/>
    <w:rsid w:val="1B396C2C"/>
    <w:rsid w:val="1B443E81"/>
    <w:rsid w:val="1B450F52"/>
    <w:rsid w:val="1B4609E6"/>
    <w:rsid w:val="1B464AEE"/>
    <w:rsid w:val="1B466DE6"/>
    <w:rsid w:val="1B4C1107"/>
    <w:rsid w:val="1B5F4876"/>
    <w:rsid w:val="1B604F76"/>
    <w:rsid w:val="1B631195"/>
    <w:rsid w:val="1B66533F"/>
    <w:rsid w:val="1B6B3087"/>
    <w:rsid w:val="1B740741"/>
    <w:rsid w:val="1B794FC4"/>
    <w:rsid w:val="1B7D5CDC"/>
    <w:rsid w:val="1B87058E"/>
    <w:rsid w:val="1B8B2C18"/>
    <w:rsid w:val="1B935851"/>
    <w:rsid w:val="1B9950DF"/>
    <w:rsid w:val="1B99570C"/>
    <w:rsid w:val="1BA13621"/>
    <w:rsid w:val="1BA21D9D"/>
    <w:rsid w:val="1BA35D23"/>
    <w:rsid w:val="1BAC16E5"/>
    <w:rsid w:val="1BB40F2B"/>
    <w:rsid w:val="1BB5784D"/>
    <w:rsid w:val="1BBE3FFF"/>
    <w:rsid w:val="1BC153A7"/>
    <w:rsid w:val="1BC57256"/>
    <w:rsid w:val="1BCF2B9F"/>
    <w:rsid w:val="1BD40808"/>
    <w:rsid w:val="1BD657AE"/>
    <w:rsid w:val="1BD803EF"/>
    <w:rsid w:val="1BD977E2"/>
    <w:rsid w:val="1BDC1FDD"/>
    <w:rsid w:val="1BE00A01"/>
    <w:rsid w:val="1BED382A"/>
    <w:rsid w:val="1BED7882"/>
    <w:rsid w:val="1BEF6A59"/>
    <w:rsid w:val="1BF01922"/>
    <w:rsid w:val="1C026BE2"/>
    <w:rsid w:val="1C027BFF"/>
    <w:rsid w:val="1C045819"/>
    <w:rsid w:val="1C095057"/>
    <w:rsid w:val="1C0A570F"/>
    <w:rsid w:val="1C10625F"/>
    <w:rsid w:val="1C145A58"/>
    <w:rsid w:val="1C152097"/>
    <w:rsid w:val="1C15285B"/>
    <w:rsid w:val="1C1B1718"/>
    <w:rsid w:val="1C1E632B"/>
    <w:rsid w:val="1C230D0E"/>
    <w:rsid w:val="1C243FC3"/>
    <w:rsid w:val="1C2A40BF"/>
    <w:rsid w:val="1C2E4B85"/>
    <w:rsid w:val="1C3B0B57"/>
    <w:rsid w:val="1C3B190C"/>
    <w:rsid w:val="1C4412A9"/>
    <w:rsid w:val="1C4A0EAE"/>
    <w:rsid w:val="1C4C6669"/>
    <w:rsid w:val="1C5039DB"/>
    <w:rsid w:val="1C505A77"/>
    <w:rsid w:val="1C586C59"/>
    <w:rsid w:val="1C69538F"/>
    <w:rsid w:val="1C704DD8"/>
    <w:rsid w:val="1C727B26"/>
    <w:rsid w:val="1C784DDC"/>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628BB"/>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F2296"/>
    <w:rsid w:val="1D2740FC"/>
    <w:rsid w:val="1D2A48BA"/>
    <w:rsid w:val="1D2F6DCA"/>
    <w:rsid w:val="1D326D68"/>
    <w:rsid w:val="1D36380C"/>
    <w:rsid w:val="1D3A022D"/>
    <w:rsid w:val="1D3F04B1"/>
    <w:rsid w:val="1D4511CA"/>
    <w:rsid w:val="1D472010"/>
    <w:rsid w:val="1D4804FB"/>
    <w:rsid w:val="1D560A9B"/>
    <w:rsid w:val="1D5B0EB0"/>
    <w:rsid w:val="1D5D4A37"/>
    <w:rsid w:val="1D6357B5"/>
    <w:rsid w:val="1D63616E"/>
    <w:rsid w:val="1D6A6CD4"/>
    <w:rsid w:val="1D7661C3"/>
    <w:rsid w:val="1D77376F"/>
    <w:rsid w:val="1D7A174B"/>
    <w:rsid w:val="1D82010E"/>
    <w:rsid w:val="1D865F4E"/>
    <w:rsid w:val="1D872468"/>
    <w:rsid w:val="1D890FB7"/>
    <w:rsid w:val="1D8A0A49"/>
    <w:rsid w:val="1D945A29"/>
    <w:rsid w:val="1D9D3E81"/>
    <w:rsid w:val="1DA22D6E"/>
    <w:rsid w:val="1DA230E1"/>
    <w:rsid w:val="1DA632D9"/>
    <w:rsid w:val="1DB833E3"/>
    <w:rsid w:val="1DB83E44"/>
    <w:rsid w:val="1DB85931"/>
    <w:rsid w:val="1DBC7B09"/>
    <w:rsid w:val="1DC57F56"/>
    <w:rsid w:val="1DC73840"/>
    <w:rsid w:val="1DCA3A7C"/>
    <w:rsid w:val="1DD2460F"/>
    <w:rsid w:val="1DD34E82"/>
    <w:rsid w:val="1DD52B9E"/>
    <w:rsid w:val="1DD722B2"/>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2D4B90"/>
    <w:rsid w:val="1E2E1619"/>
    <w:rsid w:val="1E2F16AA"/>
    <w:rsid w:val="1E314C83"/>
    <w:rsid w:val="1E3B10FE"/>
    <w:rsid w:val="1E415F1B"/>
    <w:rsid w:val="1E50139B"/>
    <w:rsid w:val="1E563A89"/>
    <w:rsid w:val="1E5F17F6"/>
    <w:rsid w:val="1E687705"/>
    <w:rsid w:val="1E6E32B3"/>
    <w:rsid w:val="1E732462"/>
    <w:rsid w:val="1E79505C"/>
    <w:rsid w:val="1E9564D7"/>
    <w:rsid w:val="1E9B64F2"/>
    <w:rsid w:val="1E9F6590"/>
    <w:rsid w:val="1EAA1FDC"/>
    <w:rsid w:val="1EB8778F"/>
    <w:rsid w:val="1EBA0A60"/>
    <w:rsid w:val="1EBD2B34"/>
    <w:rsid w:val="1EBE7B91"/>
    <w:rsid w:val="1EBF2648"/>
    <w:rsid w:val="1EC2215B"/>
    <w:rsid w:val="1EC82949"/>
    <w:rsid w:val="1ECA37EC"/>
    <w:rsid w:val="1ED409C9"/>
    <w:rsid w:val="1ED6317D"/>
    <w:rsid w:val="1EDE70CF"/>
    <w:rsid w:val="1EE37570"/>
    <w:rsid w:val="1EF7645D"/>
    <w:rsid w:val="1EFA0382"/>
    <w:rsid w:val="1F013EF9"/>
    <w:rsid w:val="1F0456EE"/>
    <w:rsid w:val="1F0D0F04"/>
    <w:rsid w:val="1F0E131F"/>
    <w:rsid w:val="1F0F2F71"/>
    <w:rsid w:val="1F136E8C"/>
    <w:rsid w:val="1F1C6330"/>
    <w:rsid w:val="1F237A64"/>
    <w:rsid w:val="1F291073"/>
    <w:rsid w:val="1F364BA6"/>
    <w:rsid w:val="1F384946"/>
    <w:rsid w:val="1F3C4B92"/>
    <w:rsid w:val="1F3E16A1"/>
    <w:rsid w:val="1F4734A0"/>
    <w:rsid w:val="1F486AE0"/>
    <w:rsid w:val="1F5361FA"/>
    <w:rsid w:val="1F546E67"/>
    <w:rsid w:val="1F561C63"/>
    <w:rsid w:val="1F605F2C"/>
    <w:rsid w:val="1F615FBC"/>
    <w:rsid w:val="1F63565F"/>
    <w:rsid w:val="1F667BD1"/>
    <w:rsid w:val="1F765053"/>
    <w:rsid w:val="1F7708D9"/>
    <w:rsid w:val="1F7864CB"/>
    <w:rsid w:val="1F7D1E41"/>
    <w:rsid w:val="1F806D7E"/>
    <w:rsid w:val="1F845E1B"/>
    <w:rsid w:val="1F871D12"/>
    <w:rsid w:val="1F8F4EA8"/>
    <w:rsid w:val="1F977357"/>
    <w:rsid w:val="1F9A4420"/>
    <w:rsid w:val="1F9C2030"/>
    <w:rsid w:val="1F9D5BB8"/>
    <w:rsid w:val="1F9E5C18"/>
    <w:rsid w:val="1FAA09E6"/>
    <w:rsid w:val="1FAB6CD7"/>
    <w:rsid w:val="1FB15F08"/>
    <w:rsid w:val="1FC115AD"/>
    <w:rsid w:val="1FC70AB5"/>
    <w:rsid w:val="1FCB00B8"/>
    <w:rsid w:val="1FCB0B4F"/>
    <w:rsid w:val="1FCE3369"/>
    <w:rsid w:val="1FD06AC3"/>
    <w:rsid w:val="1FD41A09"/>
    <w:rsid w:val="1FE2379D"/>
    <w:rsid w:val="1FE3768F"/>
    <w:rsid w:val="1FE602F1"/>
    <w:rsid w:val="1FEE2EAF"/>
    <w:rsid w:val="1FF05319"/>
    <w:rsid w:val="1FF24F00"/>
    <w:rsid w:val="1FF6642A"/>
    <w:rsid w:val="1FF83655"/>
    <w:rsid w:val="20034697"/>
    <w:rsid w:val="200543AC"/>
    <w:rsid w:val="20096DC9"/>
    <w:rsid w:val="200C37FD"/>
    <w:rsid w:val="200D7333"/>
    <w:rsid w:val="20125BCF"/>
    <w:rsid w:val="20173670"/>
    <w:rsid w:val="201B7586"/>
    <w:rsid w:val="201C3CA2"/>
    <w:rsid w:val="201D36E6"/>
    <w:rsid w:val="201F1A41"/>
    <w:rsid w:val="20246D32"/>
    <w:rsid w:val="20287CCA"/>
    <w:rsid w:val="202F7842"/>
    <w:rsid w:val="20360A34"/>
    <w:rsid w:val="203B0890"/>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D1F92"/>
    <w:rsid w:val="209429B3"/>
    <w:rsid w:val="20950DEF"/>
    <w:rsid w:val="209A3615"/>
    <w:rsid w:val="209B099C"/>
    <w:rsid w:val="20A0289C"/>
    <w:rsid w:val="20B44655"/>
    <w:rsid w:val="20B816A1"/>
    <w:rsid w:val="20B95BEF"/>
    <w:rsid w:val="20BC29D9"/>
    <w:rsid w:val="20C11D2A"/>
    <w:rsid w:val="20C26B56"/>
    <w:rsid w:val="20C776A9"/>
    <w:rsid w:val="20D45236"/>
    <w:rsid w:val="20D45CC6"/>
    <w:rsid w:val="20D47CF1"/>
    <w:rsid w:val="20D67A4F"/>
    <w:rsid w:val="20DF7183"/>
    <w:rsid w:val="20EB0A2A"/>
    <w:rsid w:val="20ED6469"/>
    <w:rsid w:val="20EE326C"/>
    <w:rsid w:val="20F309B6"/>
    <w:rsid w:val="20F72E28"/>
    <w:rsid w:val="21010181"/>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78F2"/>
    <w:rsid w:val="21541887"/>
    <w:rsid w:val="215B37CA"/>
    <w:rsid w:val="215D104C"/>
    <w:rsid w:val="216707D5"/>
    <w:rsid w:val="21700B44"/>
    <w:rsid w:val="217105A1"/>
    <w:rsid w:val="217C4BD1"/>
    <w:rsid w:val="21836424"/>
    <w:rsid w:val="21881398"/>
    <w:rsid w:val="218F54BC"/>
    <w:rsid w:val="21921E6A"/>
    <w:rsid w:val="219531A4"/>
    <w:rsid w:val="2197160F"/>
    <w:rsid w:val="21976B9E"/>
    <w:rsid w:val="21A242AC"/>
    <w:rsid w:val="21A55461"/>
    <w:rsid w:val="21A81C19"/>
    <w:rsid w:val="21A924BE"/>
    <w:rsid w:val="21A965D7"/>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37E5F"/>
    <w:rsid w:val="220639A6"/>
    <w:rsid w:val="22114C72"/>
    <w:rsid w:val="22121E7C"/>
    <w:rsid w:val="22162C71"/>
    <w:rsid w:val="221B68C5"/>
    <w:rsid w:val="22221E14"/>
    <w:rsid w:val="22286409"/>
    <w:rsid w:val="22290D5F"/>
    <w:rsid w:val="2232741B"/>
    <w:rsid w:val="223462B6"/>
    <w:rsid w:val="223463E7"/>
    <w:rsid w:val="223F5B17"/>
    <w:rsid w:val="22426E3C"/>
    <w:rsid w:val="22470F04"/>
    <w:rsid w:val="2252733D"/>
    <w:rsid w:val="22537071"/>
    <w:rsid w:val="22552E4A"/>
    <w:rsid w:val="22565515"/>
    <w:rsid w:val="22571E6F"/>
    <w:rsid w:val="225900FF"/>
    <w:rsid w:val="225E4056"/>
    <w:rsid w:val="226436BF"/>
    <w:rsid w:val="226758E5"/>
    <w:rsid w:val="22692416"/>
    <w:rsid w:val="22790C8F"/>
    <w:rsid w:val="227E691F"/>
    <w:rsid w:val="227F29B7"/>
    <w:rsid w:val="229150BB"/>
    <w:rsid w:val="229A472F"/>
    <w:rsid w:val="22A76E5F"/>
    <w:rsid w:val="22AE201B"/>
    <w:rsid w:val="22AF27D5"/>
    <w:rsid w:val="22B414AA"/>
    <w:rsid w:val="22B41D89"/>
    <w:rsid w:val="22BB77FD"/>
    <w:rsid w:val="22BD44C5"/>
    <w:rsid w:val="22BF4862"/>
    <w:rsid w:val="22C1586D"/>
    <w:rsid w:val="22C27100"/>
    <w:rsid w:val="22CA16DE"/>
    <w:rsid w:val="22CB0049"/>
    <w:rsid w:val="22CD7FC8"/>
    <w:rsid w:val="22D62F3B"/>
    <w:rsid w:val="22DE041B"/>
    <w:rsid w:val="22F729DC"/>
    <w:rsid w:val="22FF232F"/>
    <w:rsid w:val="23001CE0"/>
    <w:rsid w:val="2302236B"/>
    <w:rsid w:val="2307664C"/>
    <w:rsid w:val="23096319"/>
    <w:rsid w:val="23101B7A"/>
    <w:rsid w:val="231052D0"/>
    <w:rsid w:val="231512A6"/>
    <w:rsid w:val="23192E2D"/>
    <w:rsid w:val="231B2974"/>
    <w:rsid w:val="23214CC6"/>
    <w:rsid w:val="23281860"/>
    <w:rsid w:val="232D5522"/>
    <w:rsid w:val="2331281A"/>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46A3"/>
    <w:rsid w:val="239A67F3"/>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12695"/>
    <w:rsid w:val="24142C8B"/>
    <w:rsid w:val="241C3505"/>
    <w:rsid w:val="241F2F86"/>
    <w:rsid w:val="24203BAA"/>
    <w:rsid w:val="242546AB"/>
    <w:rsid w:val="242E2EF3"/>
    <w:rsid w:val="24376E92"/>
    <w:rsid w:val="24382415"/>
    <w:rsid w:val="243E1494"/>
    <w:rsid w:val="24401ED3"/>
    <w:rsid w:val="24463F64"/>
    <w:rsid w:val="244C3178"/>
    <w:rsid w:val="245037AB"/>
    <w:rsid w:val="24525AE4"/>
    <w:rsid w:val="24544BFC"/>
    <w:rsid w:val="245868CE"/>
    <w:rsid w:val="246D35C3"/>
    <w:rsid w:val="246E1688"/>
    <w:rsid w:val="2474250F"/>
    <w:rsid w:val="247C4FC2"/>
    <w:rsid w:val="247E363A"/>
    <w:rsid w:val="247E632F"/>
    <w:rsid w:val="2480277A"/>
    <w:rsid w:val="24870E07"/>
    <w:rsid w:val="248B6D86"/>
    <w:rsid w:val="248B71BD"/>
    <w:rsid w:val="248E4F8B"/>
    <w:rsid w:val="24904055"/>
    <w:rsid w:val="24993FEC"/>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C35A3"/>
    <w:rsid w:val="24FD418E"/>
    <w:rsid w:val="250052D0"/>
    <w:rsid w:val="25020D7F"/>
    <w:rsid w:val="250C627A"/>
    <w:rsid w:val="250D152E"/>
    <w:rsid w:val="25151733"/>
    <w:rsid w:val="251554D8"/>
    <w:rsid w:val="25183DC1"/>
    <w:rsid w:val="251918D0"/>
    <w:rsid w:val="251F4CFE"/>
    <w:rsid w:val="252D4705"/>
    <w:rsid w:val="25350FCE"/>
    <w:rsid w:val="25364864"/>
    <w:rsid w:val="25367E51"/>
    <w:rsid w:val="253729C1"/>
    <w:rsid w:val="25382763"/>
    <w:rsid w:val="253F03DC"/>
    <w:rsid w:val="253F3C80"/>
    <w:rsid w:val="254745CB"/>
    <w:rsid w:val="254915A6"/>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923F9"/>
    <w:rsid w:val="260B3174"/>
    <w:rsid w:val="261137F0"/>
    <w:rsid w:val="261229D1"/>
    <w:rsid w:val="261A14B6"/>
    <w:rsid w:val="261D31A9"/>
    <w:rsid w:val="26246E3B"/>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9456B"/>
    <w:rsid w:val="26801741"/>
    <w:rsid w:val="26880397"/>
    <w:rsid w:val="26881393"/>
    <w:rsid w:val="26893181"/>
    <w:rsid w:val="268D0619"/>
    <w:rsid w:val="268D335E"/>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D1AF0"/>
    <w:rsid w:val="26BF7F09"/>
    <w:rsid w:val="26C119A3"/>
    <w:rsid w:val="26C84CEF"/>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945C4"/>
    <w:rsid w:val="271D32C7"/>
    <w:rsid w:val="2721490A"/>
    <w:rsid w:val="272658FE"/>
    <w:rsid w:val="272B0B6C"/>
    <w:rsid w:val="272F5B33"/>
    <w:rsid w:val="27304E3B"/>
    <w:rsid w:val="273278B9"/>
    <w:rsid w:val="27352C28"/>
    <w:rsid w:val="274137B8"/>
    <w:rsid w:val="27436F3A"/>
    <w:rsid w:val="27443C03"/>
    <w:rsid w:val="27453A80"/>
    <w:rsid w:val="27464C4E"/>
    <w:rsid w:val="274E24A7"/>
    <w:rsid w:val="27514698"/>
    <w:rsid w:val="275215DA"/>
    <w:rsid w:val="275B33AF"/>
    <w:rsid w:val="275D229C"/>
    <w:rsid w:val="276061D1"/>
    <w:rsid w:val="27662EEA"/>
    <w:rsid w:val="277342FE"/>
    <w:rsid w:val="2773577D"/>
    <w:rsid w:val="27777E23"/>
    <w:rsid w:val="277B02C6"/>
    <w:rsid w:val="27821D9C"/>
    <w:rsid w:val="27860B41"/>
    <w:rsid w:val="278E0A47"/>
    <w:rsid w:val="279121D8"/>
    <w:rsid w:val="2794232D"/>
    <w:rsid w:val="27A60643"/>
    <w:rsid w:val="27A9577A"/>
    <w:rsid w:val="27B40B8B"/>
    <w:rsid w:val="27BB7D18"/>
    <w:rsid w:val="27BF2614"/>
    <w:rsid w:val="27CE1876"/>
    <w:rsid w:val="27DA480B"/>
    <w:rsid w:val="27E320C6"/>
    <w:rsid w:val="27E61965"/>
    <w:rsid w:val="27EE2436"/>
    <w:rsid w:val="27EE3EA1"/>
    <w:rsid w:val="27FC5EA0"/>
    <w:rsid w:val="27FE7297"/>
    <w:rsid w:val="280665FC"/>
    <w:rsid w:val="2809779E"/>
    <w:rsid w:val="280A63DC"/>
    <w:rsid w:val="280D08C6"/>
    <w:rsid w:val="281031F7"/>
    <w:rsid w:val="28106855"/>
    <w:rsid w:val="28174A4A"/>
    <w:rsid w:val="28191351"/>
    <w:rsid w:val="28207745"/>
    <w:rsid w:val="282E2A0D"/>
    <w:rsid w:val="282E3661"/>
    <w:rsid w:val="28321845"/>
    <w:rsid w:val="2835795E"/>
    <w:rsid w:val="28385462"/>
    <w:rsid w:val="283B7435"/>
    <w:rsid w:val="284E129F"/>
    <w:rsid w:val="284E315B"/>
    <w:rsid w:val="2851379D"/>
    <w:rsid w:val="28514CEA"/>
    <w:rsid w:val="285469E5"/>
    <w:rsid w:val="28580E28"/>
    <w:rsid w:val="285A227D"/>
    <w:rsid w:val="285B3BC6"/>
    <w:rsid w:val="2861709F"/>
    <w:rsid w:val="286E5E65"/>
    <w:rsid w:val="28720727"/>
    <w:rsid w:val="28731DF8"/>
    <w:rsid w:val="287F0A90"/>
    <w:rsid w:val="288544BD"/>
    <w:rsid w:val="2886532E"/>
    <w:rsid w:val="288F478B"/>
    <w:rsid w:val="289105F9"/>
    <w:rsid w:val="28962513"/>
    <w:rsid w:val="28966ED1"/>
    <w:rsid w:val="28A475CD"/>
    <w:rsid w:val="28A51B02"/>
    <w:rsid w:val="28B4017A"/>
    <w:rsid w:val="28B51E6D"/>
    <w:rsid w:val="28BD05DE"/>
    <w:rsid w:val="28C15B72"/>
    <w:rsid w:val="28C52BB3"/>
    <w:rsid w:val="28CD52EA"/>
    <w:rsid w:val="28CF2CA7"/>
    <w:rsid w:val="28D62CC7"/>
    <w:rsid w:val="28D70028"/>
    <w:rsid w:val="28DB17E6"/>
    <w:rsid w:val="28DD3BE4"/>
    <w:rsid w:val="28DE6245"/>
    <w:rsid w:val="28E23CBD"/>
    <w:rsid w:val="28E347CC"/>
    <w:rsid w:val="28EA0885"/>
    <w:rsid w:val="28F60D2F"/>
    <w:rsid w:val="28FF39FD"/>
    <w:rsid w:val="29064E8D"/>
    <w:rsid w:val="290C3541"/>
    <w:rsid w:val="290E7A11"/>
    <w:rsid w:val="290F19FA"/>
    <w:rsid w:val="290F750B"/>
    <w:rsid w:val="29152A36"/>
    <w:rsid w:val="291B447E"/>
    <w:rsid w:val="29244DC0"/>
    <w:rsid w:val="2924662A"/>
    <w:rsid w:val="29274AB5"/>
    <w:rsid w:val="29291E56"/>
    <w:rsid w:val="292C29EC"/>
    <w:rsid w:val="29304A2C"/>
    <w:rsid w:val="29487161"/>
    <w:rsid w:val="294966A8"/>
    <w:rsid w:val="294C7571"/>
    <w:rsid w:val="294E1304"/>
    <w:rsid w:val="294E505B"/>
    <w:rsid w:val="29522EF8"/>
    <w:rsid w:val="29532B1A"/>
    <w:rsid w:val="29566743"/>
    <w:rsid w:val="295709E8"/>
    <w:rsid w:val="2958159E"/>
    <w:rsid w:val="29673530"/>
    <w:rsid w:val="296F7076"/>
    <w:rsid w:val="29715025"/>
    <w:rsid w:val="298C1A5A"/>
    <w:rsid w:val="298D6AFF"/>
    <w:rsid w:val="29967DE1"/>
    <w:rsid w:val="299B7D69"/>
    <w:rsid w:val="29A703FA"/>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45228"/>
    <w:rsid w:val="29E860AA"/>
    <w:rsid w:val="29EC1E0F"/>
    <w:rsid w:val="29F22F44"/>
    <w:rsid w:val="29F62B87"/>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407633"/>
    <w:rsid w:val="2A4808CE"/>
    <w:rsid w:val="2A4811E2"/>
    <w:rsid w:val="2A483D62"/>
    <w:rsid w:val="2A504417"/>
    <w:rsid w:val="2A517BBA"/>
    <w:rsid w:val="2A647BBD"/>
    <w:rsid w:val="2A665ACE"/>
    <w:rsid w:val="2A6D4792"/>
    <w:rsid w:val="2A702FE4"/>
    <w:rsid w:val="2A776776"/>
    <w:rsid w:val="2A796EEA"/>
    <w:rsid w:val="2A80524E"/>
    <w:rsid w:val="2A881DB0"/>
    <w:rsid w:val="2A883AEC"/>
    <w:rsid w:val="2A8B632E"/>
    <w:rsid w:val="2A954D77"/>
    <w:rsid w:val="2A9A7929"/>
    <w:rsid w:val="2A9E19E6"/>
    <w:rsid w:val="2AAB728D"/>
    <w:rsid w:val="2AB4686A"/>
    <w:rsid w:val="2AB55B2E"/>
    <w:rsid w:val="2AC12114"/>
    <w:rsid w:val="2AD03C7C"/>
    <w:rsid w:val="2AD408B6"/>
    <w:rsid w:val="2AE56C4E"/>
    <w:rsid w:val="2AEE6BF5"/>
    <w:rsid w:val="2AEF1DBC"/>
    <w:rsid w:val="2AF940AB"/>
    <w:rsid w:val="2AFF2EB0"/>
    <w:rsid w:val="2AFF6246"/>
    <w:rsid w:val="2B061E16"/>
    <w:rsid w:val="2B0651DB"/>
    <w:rsid w:val="2B081CE2"/>
    <w:rsid w:val="2B0B7DF6"/>
    <w:rsid w:val="2B0D72CB"/>
    <w:rsid w:val="2B0E24FA"/>
    <w:rsid w:val="2B122123"/>
    <w:rsid w:val="2B130886"/>
    <w:rsid w:val="2B1E6496"/>
    <w:rsid w:val="2B2C40EA"/>
    <w:rsid w:val="2B31763F"/>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E4C11"/>
    <w:rsid w:val="2B9967D6"/>
    <w:rsid w:val="2BA01AB2"/>
    <w:rsid w:val="2BA1091C"/>
    <w:rsid w:val="2BA326B6"/>
    <w:rsid w:val="2BA4061C"/>
    <w:rsid w:val="2BA56565"/>
    <w:rsid w:val="2BAD048A"/>
    <w:rsid w:val="2BAF422F"/>
    <w:rsid w:val="2BB858A3"/>
    <w:rsid w:val="2BC47F83"/>
    <w:rsid w:val="2BCD2333"/>
    <w:rsid w:val="2BCF6C34"/>
    <w:rsid w:val="2BD07A7B"/>
    <w:rsid w:val="2BD157A2"/>
    <w:rsid w:val="2BD56B76"/>
    <w:rsid w:val="2BD56CE3"/>
    <w:rsid w:val="2BE03D81"/>
    <w:rsid w:val="2BE314B3"/>
    <w:rsid w:val="2BEC1B8B"/>
    <w:rsid w:val="2BEF1596"/>
    <w:rsid w:val="2BEF60D0"/>
    <w:rsid w:val="2BF43CAA"/>
    <w:rsid w:val="2BFE2BBC"/>
    <w:rsid w:val="2C043FFD"/>
    <w:rsid w:val="2C0913FC"/>
    <w:rsid w:val="2C0D6DE5"/>
    <w:rsid w:val="2C101EE5"/>
    <w:rsid w:val="2C254D3F"/>
    <w:rsid w:val="2C261A7D"/>
    <w:rsid w:val="2C274CE8"/>
    <w:rsid w:val="2C290998"/>
    <w:rsid w:val="2C2D41CA"/>
    <w:rsid w:val="2C3426AA"/>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8973E5"/>
    <w:rsid w:val="2C8A6F0B"/>
    <w:rsid w:val="2C8D3EE0"/>
    <w:rsid w:val="2C932127"/>
    <w:rsid w:val="2C9C58AB"/>
    <w:rsid w:val="2CA7026F"/>
    <w:rsid w:val="2CAA115B"/>
    <w:rsid w:val="2CAA28C6"/>
    <w:rsid w:val="2CAA5EA4"/>
    <w:rsid w:val="2CB4069E"/>
    <w:rsid w:val="2CB83960"/>
    <w:rsid w:val="2CB9719D"/>
    <w:rsid w:val="2CBB1822"/>
    <w:rsid w:val="2CBE00EC"/>
    <w:rsid w:val="2CC63844"/>
    <w:rsid w:val="2CC823DB"/>
    <w:rsid w:val="2CDD7FEB"/>
    <w:rsid w:val="2CE1756B"/>
    <w:rsid w:val="2CE202D4"/>
    <w:rsid w:val="2CE914BE"/>
    <w:rsid w:val="2CEA0BBE"/>
    <w:rsid w:val="2CF03153"/>
    <w:rsid w:val="2CFE082A"/>
    <w:rsid w:val="2D03574C"/>
    <w:rsid w:val="2D0772FD"/>
    <w:rsid w:val="2D0947D4"/>
    <w:rsid w:val="2D0C28DF"/>
    <w:rsid w:val="2D13536A"/>
    <w:rsid w:val="2D233963"/>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E76CE"/>
    <w:rsid w:val="2D6F7EEF"/>
    <w:rsid w:val="2D785D16"/>
    <w:rsid w:val="2D8A3565"/>
    <w:rsid w:val="2D92541C"/>
    <w:rsid w:val="2D9D3B10"/>
    <w:rsid w:val="2DA278C0"/>
    <w:rsid w:val="2DA72CD8"/>
    <w:rsid w:val="2DA96C61"/>
    <w:rsid w:val="2DA97B1A"/>
    <w:rsid w:val="2DAF69D3"/>
    <w:rsid w:val="2DB17506"/>
    <w:rsid w:val="2DBA7C19"/>
    <w:rsid w:val="2DC714C5"/>
    <w:rsid w:val="2DCA634A"/>
    <w:rsid w:val="2DCA6960"/>
    <w:rsid w:val="2DCD7D49"/>
    <w:rsid w:val="2DD12162"/>
    <w:rsid w:val="2DD255B2"/>
    <w:rsid w:val="2DD476D7"/>
    <w:rsid w:val="2DD5219C"/>
    <w:rsid w:val="2DD83ACE"/>
    <w:rsid w:val="2DE3126E"/>
    <w:rsid w:val="2DE96ECA"/>
    <w:rsid w:val="2DEC361D"/>
    <w:rsid w:val="2DF40350"/>
    <w:rsid w:val="2DFD25D1"/>
    <w:rsid w:val="2DFD42E1"/>
    <w:rsid w:val="2DFE3435"/>
    <w:rsid w:val="2E1931E7"/>
    <w:rsid w:val="2E281711"/>
    <w:rsid w:val="2E3656F1"/>
    <w:rsid w:val="2E421513"/>
    <w:rsid w:val="2E4222B5"/>
    <w:rsid w:val="2E540FD3"/>
    <w:rsid w:val="2E5962C8"/>
    <w:rsid w:val="2E596301"/>
    <w:rsid w:val="2E596FC7"/>
    <w:rsid w:val="2E5A68F4"/>
    <w:rsid w:val="2E5D1B8D"/>
    <w:rsid w:val="2E603C24"/>
    <w:rsid w:val="2E625789"/>
    <w:rsid w:val="2E63294B"/>
    <w:rsid w:val="2E6B30C9"/>
    <w:rsid w:val="2E6B37B5"/>
    <w:rsid w:val="2E731D91"/>
    <w:rsid w:val="2E825277"/>
    <w:rsid w:val="2E8A073B"/>
    <w:rsid w:val="2E8C1999"/>
    <w:rsid w:val="2E8D13AF"/>
    <w:rsid w:val="2E904A8A"/>
    <w:rsid w:val="2E997981"/>
    <w:rsid w:val="2EA12F6D"/>
    <w:rsid w:val="2EA91956"/>
    <w:rsid w:val="2EAB4950"/>
    <w:rsid w:val="2EAC4449"/>
    <w:rsid w:val="2EB177AD"/>
    <w:rsid w:val="2EBA7E66"/>
    <w:rsid w:val="2EBF694E"/>
    <w:rsid w:val="2EC90753"/>
    <w:rsid w:val="2EC9758F"/>
    <w:rsid w:val="2ECF0E4A"/>
    <w:rsid w:val="2ED30992"/>
    <w:rsid w:val="2ED671F3"/>
    <w:rsid w:val="2EDC56C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73DD"/>
    <w:rsid w:val="2F530D2A"/>
    <w:rsid w:val="2F5B7BF2"/>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B11DD5"/>
    <w:rsid w:val="2FB362DF"/>
    <w:rsid w:val="2FB3789D"/>
    <w:rsid w:val="2FBF69B5"/>
    <w:rsid w:val="2FC76A8F"/>
    <w:rsid w:val="2FCA3E23"/>
    <w:rsid w:val="2FD10451"/>
    <w:rsid w:val="2FD163D8"/>
    <w:rsid w:val="2FD860F5"/>
    <w:rsid w:val="2FDF2921"/>
    <w:rsid w:val="2FE46613"/>
    <w:rsid w:val="2FE642B3"/>
    <w:rsid w:val="2FEB2174"/>
    <w:rsid w:val="300663FF"/>
    <w:rsid w:val="30086A93"/>
    <w:rsid w:val="300D55ED"/>
    <w:rsid w:val="300D7B1B"/>
    <w:rsid w:val="300F21EC"/>
    <w:rsid w:val="300F767A"/>
    <w:rsid w:val="30176BA2"/>
    <w:rsid w:val="301B4680"/>
    <w:rsid w:val="302719FF"/>
    <w:rsid w:val="302722EF"/>
    <w:rsid w:val="30293768"/>
    <w:rsid w:val="30341BB0"/>
    <w:rsid w:val="303620E5"/>
    <w:rsid w:val="303D0DE2"/>
    <w:rsid w:val="303E7772"/>
    <w:rsid w:val="30436446"/>
    <w:rsid w:val="30464DB9"/>
    <w:rsid w:val="304B2C4A"/>
    <w:rsid w:val="305008C1"/>
    <w:rsid w:val="30580F44"/>
    <w:rsid w:val="305D51AD"/>
    <w:rsid w:val="30601159"/>
    <w:rsid w:val="30616BA5"/>
    <w:rsid w:val="30651A2D"/>
    <w:rsid w:val="30676EC0"/>
    <w:rsid w:val="306C0885"/>
    <w:rsid w:val="306D312F"/>
    <w:rsid w:val="30750481"/>
    <w:rsid w:val="307847F3"/>
    <w:rsid w:val="307942EA"/>
    <w:rsid w:val="307B2FA3"/>
    <w:rsid w:val="307F585F"/>
    <w:rsid w:val="308159F9"/>
    <w:rsid w:val="308172BE"/>
    <w:rsid w:val="308378CE"/>
    <w:rsid w:val="308503C6"/>
    <w:rsid w:val="308B6965"/>
    <w:rsid w:val="308F06FD"/>
    <w:rsid w:val="308F15E0"/>
    <w:rsid w:val="30A55D26"/>
    <w:rsid w:val="30A852D9"/>
    <w:rsid w:val="30AA183B"/>
    <w:rsid w:val="30AB7B68"/>
    <w:rsid w:val="30AF567B"/>
    <w:rsid w:val="30B001DD"/>
    <w:rsid w:val="30B11949"/>
    <w:rsid w:val="30B47501"/>
    <w:rsid w:val="30C31A45"/>
    <w:rsid w:val="30C71F2B"/>
    <w:rsid w:val="30C76CBF"/>
    <w:rsid w:val="30DC42AB"/>
    <w:rsid w:val="30E068F9"/>
    <w:rsid w:val="30EF2653"/>
    <w:rsid w:val="310A7D44"/>
    <w:rsid w:val="310E5B69"/>
    <w:rsid w:val="311108E9"/>
    <w:rsid w:val="31130B1C"/>
    <w:rsid w:val="31143422"/>
    <w:rsid w:val="3114758B"/>
    <w:rsid w:val="31177D87"/>
    <w:rsid w:val="312008C2"/>
    <w:rsid w:val="31241CD6"/>
    <w:rsid w:val="31244914"/>
    <w:rsid w:val="312A3D0F"/>
    <w:rsid w:val="312D6D92"/>
    <w:rsid w:val="31311AA0"/>
    <w:rsid w:val="313344AE"/>
    <w:rsid w:val="314A732D"/>
    <w:rsid w:val="315B288C"/>
    <w:rsid w:val="315F34F5"/>
    <w:rsid w:val="31625BD9"/>
    <w:rsid w:val="3165203B"/>
    <w:rsid w:val="31731696"/>
    <w:rsid w:val="317675CF"/>
    <w:rsid w:val="31802145"/>
    <w:rsid w:val="318031E5"/>
    <w:rsid w:val="31846B58"/>
    <w:rsid w:val="318648B5"/>
    <w:rsid w:val="31864A48"/>
    <w:rsid w:val="318B5416"/>
    <w:rsid w:val="319E0737"/>
    <w:rsid w:val="31A65BAC"/>
    <w:rsid w:val="31AA69D6"/>
    <w:rsid w:val="31AD308F"/>
    <w:rsid w:val="31AE79E0"/>
    <w:rsid w:val="31B4506B"/>
    <w:rsid w:val="31B61EDA"/>
    <w:rsid w:val="31B90258"/>
    <w:rsid w:val="31B90360"/>
    <w:rsid w:val="31BD3F4D"/>
    <w:rsid w:val="31C93678"/>
    <w:rsid w:val="31CE242D"/>
    <w:rsid w:val="31D21A2E"/>
    <w:rsid w:val="31D36B4F"/>
    <w:rsid w:val="31D90729"/>
    <w:rsid w:val="31DC4F69"/>
    <w:rsid w:val="31E02076"/>
    <w:rsid w:val="31E847F9"/>
    <w:rsid w:val="31EA2506"/>
    <w:rsid w:val="31F6117F"/>
    <w:rsid w:val="31F636A5"/>
    <w:rsid w:val="31FB24D3"/>
    <w:rsid w:val="32011C66"/>
    <w:rsid w:val="32051BB0"/>
    <w:rsid w:val="320D7BE8"/>
    <w:rsid w:val="32177C99"/>
    <w:rsid w:val="321C0937"/>
    <w:rsid w:val="322F0F01"/>
    <w:rsid w:val="3230496F"/>
    <w:rsid w:val="32307F8D"/>
    <w:rsid w:val="323960B9"/>
    <w:rsid w:val="323C68FB"/>
    <w:rsid w:val="32601098"/>
    <w:rsid w:val="32745E8A"/>
    <w:rsid w:val="32762D3B"/>
    <w:rsid w:val="32790C2E"/>
    <w:rsid w:val="327C74DE"/>
    <w:rsid w:val="327F6D26"/>
    <w:rsid w:val="32930307"/>
    <w:rsid w:val="32A006DD"/>
    <w:rsid w:val="32A36BC3"/>
    <w:rsid w:val="32A90F02"/>
    <w:rsid w:val="32AD7662"/>
    <w:rsid w:val="32B45020"/>
    <w:rsid w:val="32B6723D"/>
    <w:rsid w:val="32B96607"/>
    <w:rsid w:val="32C03F88"/>
    <w:rsid w:val="32C724B2"/>
    <w:rsid w:val="32CE143A"/>
    <w:rsid w:val="32CF6BAC"/>
    <w:rsid w:val="32D02EA3"/>
    <w:rsid w:val="32D11F5D"/>
    <w:rsid w:val="32D965B1"/>
    <w:rsid w:val="32DE0520"/>
    <w:rsid w:val="32DE651E"/>
    <w:rsid w:val="32E97B15"/>
    <w:rsid w:val="32EB3D2E"/>
    <w:rsid w:val="32F92807"/>
    <w:rsid w:val="330438C3"/>
    <w:rsid w:val="330745A8"/>
    <w:rsid w:val="330825B3"/>
    <w:rsid w:val="33092F71"/>
    <w:rsid w:val="330E2CB4"/>
    <w:rsid w:val="33117561"/>
    <w:rsid w:val="33172822"/>
    <w:rsid w:val="331A3BCD"/>
    <w:rsid w:val="33215EA1"/>
    <w:rsid w:val="33227045"/>
    <w:rsid w:val="33262E12"/>
    <w:rsid w:val="33271667"/>
    <w:rsid w:val="33272AFD"/>
    <w:rsid w:val="33277E34"/>
    <w:rsid w:val="332D3BF3"/>
    <w:rsid w:val="33335D2B"/>
    <w:rsid w:val="33346A33"/>
    <w:rsid w:val="33355A2E"/>
    <w:rsid w:val="33355B61"/>
    <w:rsid w:val="33390D3A"/>
    <w:rsid w:val="333C6AC3"/>
    <w:rsid w:val="33437504"/>
    <w:rsid w:val="33481298"/>
    <w:rsid w:val="334C0DD9"/>
    <w:rsid w:val="334D4192"/>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2E94"/>
    <w:rsid w:val="3378211E"/>
    <w:rsid w:val="337D1A35"/>
    <w:rsid w:val="33804C38"/>
    <w:rsid w:val="33886CEE"/>
    <w:rsid w:val="33915561"/>
    <w:rsid w:val="33952B15"/>
    <w:rsid w:val="33953748"/>
    <w:rsid w:val="339D641B"/>
    <w:rsid w:val="339F747C"/>
    <w:rsid w:val="33A41288"/>
    <w:rsid w:val="33A75E06"/>
    <w:rsid w:val="33BC17A1"/>
    <w:rsid w:val="33C14525"/>
    <w:rsid w:val="33C979F1"/>
    <w:rsid w:val="33CA72F2"/>
    <w:rsid w:val="33CE34C9"/>
    <w:rsid w:val="33CF32BC"/>
    <w:rsid w:val="33D51CFB"/>
    <w:rsid w:val="33D63892"/>
    <w:rsid w:val="33DA3C12"/>
    <w:rsid w:val="33E1651E"/>
    <w:rsid w:val="33E9005B"/>
    <w:rsid w:val="33EF30DA"/>
    <w:rsid w:val="33F20328"/>
    <w:rsid w:val="33F616DA"/>
    <w:rsid w:val="34056C0E"/>
    <w:rsid w:val="34067D9F"/>
    <w:rsid w:val="3409334A"/>
    <w:rsid w:val="340C67EE"/>
    <w:rsid w:val="341157FA"/>
    <w:rsid w:val="341260F2"/>
    <w:rsid w:val="341544AE"/>
    <w:rsid w:val="3416587E"/>
    <w:rsid w:val="341A0662"/>
    <w:rsid w:val="341E3E6B"/>
    <w:rsid w:val="34236595"/>
    <w:rsid w:val="342848DD"/>
    <w:rsid w:val="342B013D"/>
    <w:rsid w:val="342C7CD4"/>
    <w:rsid w:val="34365D0F"/>
    <w:rsid w:val="343E3F00"/>
    <w:rsid w:val="34421727"/>
    <w:rsid w:val="34455BD8"/>
    <w:rsid w:val="344E45AD"/>
    <w:rsid w:val="34537A00"/>
    <w:rsid w:val="345718EB"/>
    <w:rsid w:val="34584277"/>
    <w:rsid w:val="345A74D7"/>
    <w:rsid w:val="346605B2"/>
    <w:rsid w:val="346E280F"/>
    <w:rsid w:val="346E701E"/>
    <w:rsid w:val="3473163B"/>
    <w:rsid w:val="3475356C"/>
    <w:rsid w:val="3475716B"/>
    <w:rsid w:val="34772E9F"/>
    <w:rsid w:val="347D6B7F"/>
    <w:rsid w:val="347F6999"/>
    <w:rsid w:val="3492319E"/>
    <w:rsid w:val="34931F95"/>
    <w:rsid w:val="34B1369F"/>
    <w:rsid w:val="34BA11D5"/>
    <w:rsid w:val="34BB104E"/>
    <w:rsid w:val="34BF6630"/>
    <w:rsid w:val="34C7084F"/>
    <w:rsid w:val="34CA0CA8"/>
    <w:rsid w:val="34CA5080"/>
    <w:rsid w:val="34CB1AC9"/>
    <w:rsid w:val="34D30834"/>
    <w:rsid w:val="34D44214"/>
    <w:rsid w:val="34D62270"/>
    <w:rsid w:val="34DA659F"/>
    <w:rsid w:val="34DD44E1"/>
    <w:rsid w:val="34E83DEA"/>
    <w:rsid w:val="34EB6F6F"/>
    <w:rsid w:val="34F1077C"/>
    <w:rsid w:val="34FC1C9F"/>
    <w:rsid w:val="35014991"/>
    <w:rsid w:val="35036E93"/>
    <w:rsid w:val="350B0AD8"/>
    <w:rsid w:val="350F290B"/>
    <w:rsid w:val="350F48BF"/>
    <w:rsid w:val="35117CA3"/>
    <w:rsid w:val="351446B3"/>
    <w:rsid w:val="35194741"/>
    <w:rsid w:val="351D4ECB"/>
    <w:rsid w:val="352A3AE7"/>
    <w:rsid w:val="352A6E5A"/>
    <w:rsid w:val="352B279D"/>
    <w:rsid w:val="353314EE"/>
    <w:rsid w:val="35352995"/>
    <w:rsid w:val="353778DA"/>
    <w:rsid w:val="35416709"/>
    <w:rsid w:val="3542277B"/>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C1D12"/>
    <w:rsid w:val="359E0193"/>
    <w:rsid w:val="35A13235"/>
    <w:rsid w:val="35A27A3D"/>
    <w:rsid w:val="35B14C48"/>
    <w:rsid w:val="35B66467"/>
    <w:rsid w:val="35B74EE0"/>
    <w:rsid w:val="35B9424B"/>
    <w:rsid w:val="35BE52A4"/>
    <w:rsid w:val="35CD3301"/>
    <w:rsid w:val="35D05B8C"/>
    <w:rsid w:val="35D229D8"/>
    <w:rsid w:val="35D22AB1"/>
    <w:rsid w:val="35D61974"/>
    <w:rsid w:val="35DC07B2"/>
    <w:rsid w:val="35E569D0"/>
    <w:rsid w:val="35EF3862"/>
    <w:rsid w:val="35F64CDE"/>
    <w:rsid w:val="35F777CB"/>
    <w:rsid w:val="36057172"/>
    <w:rsid w:val="36062003"/>
    <w:rsid w:val="36075703"/>
    <w:rsid w:val="361A0C3D"/>
    <w:rsid w:val="361D4745"/>
    <w:rsid w:val="361E4A68"/>
    <w:rsid w:val="361E4BCF"/>
    <w:rsid w:val="361F359F"/>
    <w:rsid w:val="362029EC"/>
    <w:rsid w:val="362C44AF"/>
    <w:rsid w:val="362F386E"/>
    <w:rsid w:val="364074D3"/>
    <w:rsid w:val="36433B1B"/>
    <w:rsid w:val="36474B7A"/>
    <w:rsid w:val="364D533A"/>
    <w:rsid w:val="364E74AA"/>
    <w:rsid w:val="364F2ABA"/>
    <w:rsid w:val="364F7FB6"/>
    <w:rsid w:val="365426B9"/>
    <w:rsid w:val="36547E5A"/>
    <w:rsid w:val="36552A5E"/>
    <w:rsid w:val="365B748F"/>
    <w:rsid w:val="365D18E5"/>
    <w:rsid w:val="3661561B"/>
    <w:rsid w:val="36631581"/>
    <w:rsid w:val="36715F50"/>
    <w:rsid w:val="36767FA0"/>
    <w:rsid w:val="367949C1"/>
    <w:rsid w:val="367A4334"/>
    <w:rsid w:val="367C0A30"/>
    <w:rsid w:val="367C1CB9"/>
    <w:rsid w:val="367D1308"/>
    <w:rsid w:val="367E6C51"/>
    <w:rsid w:val="368010F6"/>
    <w:rsid w:val="3689641E"/>
    <w:rsid w:val="368E7CA9"/>
    <w:rsid w:val="369464A6"/>
    <w:rsid w:val="36985ABF"/>
    <w:rsid w:val="36991D1F"/>
    <w:rsid w:val="369952E9"/>
    <w:rsid w:val="369B322E"/>
    <w:rsid w:val="36AA260C"/>
    <w:rsid w:val="36AC07F0"/>
    <w:rsid w:val="36B074A1"/>
    <w:rsid w:val="36B67671"/>
    <w:rsid w:val="36B83DA7"/>
    <w:rsid w:val="36B85A7D"/>
    <w:rsid w:val="36BB013A"/>
    <w:rsid w:val="36C4288E"/>
    <w:rsid w:val="36C73BE1"/>
    <w:rsid w:val="36D32134"/>
    <w:rsid w:val="36D6408C"/>
    <w:rsid w:val="36D76DB6"/>
    <w:rsid w:val="36D774C8"/>
    <w:rsid w:val="36DB0B2D"/>
    <w:rsid w:val="36E35AD2"/>
    <w:rsid w:val="36F2275F"/>
    <w:rsid w:val="36F62B81"/>
    <w:rsid w:val="36F62C74"/>
    <w:rsid w:val="36FB257D"/>
    <w:rsid w:val="3705353A"/>
    <w:rsid w:val="370778E1"/>
    <w:rsid w:val="370A62C5"/>
    <w:rsid w:val="37110637"/>
    <w:rsid w:val="37126926"/>
    <w:rsid w:val="37142C90"/>
    <w:rsid w:val="37186085"/>
    <w:rsid w:val="37207A5E"/>
    <w:rsid w:val="37277F10"/>
    <w:rsid w:val="372D4141"/>
    <w:rsid w:val="372D5E85"/>
    <w:rsid w:val="37316255"/>
    <w:rsid w:val="373A7A98"/>
    <w:rsid w:val="373B0631"/>
    <w:rsid w:val="373E57E6"/>
    <w:rsid w:val="374370B3"/>
    <w:rsid w:val="37497D6C"/>
    <w:rsid w:val="3750226C"/>
    <w:rsid w:val="37502818"/>
    <w:rsid w:val="375127CE"/>
    <w:rsid w:val="37513D01"/>
    <w:rsid w:val="37535CB6"/>
    <w:rsid w:val="375C30D2"/>
    <w:rsid w:val="376C5889"/>
    <w:rsid w:val="376D30B7"/>
    <w:rsid w:val="376F3C3D"/>
    <w:rsid w:val="37777509"/>
    <w:rsid w:val="37782D0E"/>
    <w:rsid w:val="377A2230"/>
    <w:rsid w:val="377D5303"/>
    <w:rsid w:val="37825324"/>
    <w:rsid w:val="378B0327"/>
    <w:rsid w:val="378C2D0E"/>
    <w:rsid w:val="378E0749"/>
    <w:rsid w:val="37961346"/>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F2418D"/>
    <w:rsid w:val="3803718F"/>
    <w:rsid w:val="38091FFF"/>
    <w:rsid w:val="3809520B"/>
    <w:rsid w:val="380F6701"/>
    <w:rsid w:val="38124A9D"/>
    <w:rsid w:val="38204A20"/>
    <w:rsid w:val="38241F4A"/>
    <w:rsid w:val="382474BE"/>
    <w:rsid w:val="38310D30"/>
    <w:rsid w:val="38465EFC"/>
    <w:rsid w:val="38470572"/>
    <w:rsid w:val="38487E16"/>
    <w:rsid w:val="385035FF"/>
    <w:rsid w:val="38507266"/>
    <w:rsid w:val="38527B50"/>
    <w:rsid w:val="3859213F"/>
    <w:rsid w:val="385B486D"/>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23DA3"/>
    <w:rsid w:val="390B0C61"/>
    <w:rsid w:val="390F1D65"/>
    <w:rsid w:val="391026AC"/>
    <w:rsid w:val="391277EC"/>
    <w:rsid w:val="391A61CF"/>
    <w:rsid w:val="391B59AB"/>
    <w:rsid w:val="392819C0"/>
    <w:rsid w:val="393244B6"/>
    <w:rsid w:val="39355B2F"/>
    <w:rsid w:val="393A22B3"/>
    <w:rsid w:val="393B7E98"/>
    <w:rsid w:val="393F7A28"/>
    <w:rsid w:val="39402C51"/>
    <w:rsid w:val="3942196B"/>
    <w:rsid w:val="39440716"/>
    <w:rsid w:val="394E1A7D"/>
    <w:rsid w:val="39537F49"/>
    <w:rsid w:val="39591892"/>
    <w:rsid w:val="395E51E9"/>
    <w:rsid w:val="3961327F"/>
    <w:rsid w:val="39616D48"/>
    <w:rsid w:val="3961740D"/>
    <w:rsid w:val="39630ED6"/>
    <w:rsid w:val="397526B1"/>
    <w:rsid w:val="3976477E"/>
    <w:rsid w:val="39796003"/>
    <w:rsid w:val="397D61CF"/>
    <w:rsid w:val="397F361D"/>
    <w:rsid w:val="3984702E"/>
    <w:rsid w:val="39887A03"/>
    <w:rsid w:val="398D258D"/>
    <w:rsid w:val="39A04307"/>
    <w:rsid w:val="39A703A5"/>
    <w:rsid w:val="39AD2665"/>
    <w:rsid w:val="39C00132"/>
    <w:rsid w:val="39C00658"/>
    <w:rsid w:val="39C34A83"/>
    <w:rsid w:val="39C876AA"/>
    <w:rsid w:val="39D0329F"/>
    <w:rsid w:val="39D644B1"/>
    <w:rsid w:val="39DE4386"/>
    <w:rsid w:val="39E61B89"/>
    <w:rsid w:val="39ED27A3"/>
    <w:rsid w:val="39FA2804"/>
    <w:rsid w:val="39FB0E30"/>
    <w:rsid w:val="39FB49A1"/>
    <w:rsid w:val="3A003BFB"/>
    <w:rsid w:val="3A0112A2"/>
    <w:rsid w:val="3A0409BB"/>
    <w:rsid w:val="3A051F41"/>
    <w:rsid w:val="3A054A83"/>
    <w:rsid w:val="3A107A70"/>
    <w:rsid w:val="3A1C5DFA"/>
    <w:rsid w:val="3A1E5C85"/>
    <w:rsid w:val="3A206E11"/>
    <w:rsid w:val="3A227A56"/>
    <w:rsid w:val="3A344169"/>
    <w:rsid w:val="3A3530C5"/>
    <w:rsid w:val="3A3F063C"/>
    <w:rsid w:val="3A427FBB"/>
    <w:rsid w:val="3A497F4C"/>
    <w:rsid w:val="3A4C1715"/>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A1118E"/>
    <w:rsid w:val="3AA913FD"/>
    <w:rsid w:val="3AA931B5"/>
    <w:rsid w:val="3AAF313A"/>
    <w:rsid w:val="3AAF360B"/>
    <w:rsid w:val="3AB24182"/>
    <w:rsid w:val="3AB66707"/>
    <w:rsid w:val="3ABD5C93"/>
    <w:rsid w:val="3ABE42D8"/>
    <w:rsid w:val="3ABE7AA6"/>
    <w:rsid w:val="3AC7482E"/>
    <w:rsid w:val="3AD83A9E"/>
    <w:rsid w:val="3ADD4A23"/>
    <w:rsid w:val="3ADF6377"/>
    <w:rsid w:val="3AE1451D"/>
    <w:rsid w:val="3AE52C73"/>
    <w:rsid w:val="3AE66C68"/>
    <w:rsid w:val="3AED7403"/>
    <w:rsid w:val="3AEF57AB"/>
    <w:rsid w:val="3AF72D01"/>
    <w:rsid w:val="3AF851C8"/>
    <w:rsid w:val="3AFA65B6"/>
    <w:rsid w:val="3B0537E4"/>
    <w:rsid w:val="3B05660E"/>
    <w:rsid w:val="3B067205"/>
    <w:rsid w:val="3B12379B"/>
    <w:rsid w:val="3B194589"/>
    <w:rsid w:val="3B1F7B05"/>
    <w:rsid w:val="3B210401"/>
    <w:rsid w:val="3B226B5E"/>
    <w:rsid w:val="3B2811AE"/>
    <w:rsid w:val="3B2819AB"/>
    <w:rsid w:val="3B3555B5"/>
    <w:rsid w:val="3B374BB8"/>
    <w:rsid w:val="3B3A63B0"/>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63ECE"/>
    <w:rsid w:val="3B97431B"/>
    <w:rsid w:val="3B9E7FC5"/>
    <w:rsid w:val="3BA07D9E"/>
    <w:rsid w:val="3BA171B6"/>
    <w:rsid w:val="3BA44478"/>
    <w:rsid w:val="3BAD2622"/>
    <w:rsid w:val="3BAE0336"/>
    <w:rsid w:val="3BB0601F"/>
    <w:rsid w:val="3BB47000"/>
    <w:rsid w:val="3BB55C46"/>
    <w:rsid w:val="3BB6744B"/>
    <w:rsid w:val="3BB9798F"/>
    <w:rsid w:val="3BBF0FEB"/>
    <w:rsid w:val="3BBF12A8"/>
    <w:rsid w:val="3BC11629"/>
    <w:rsid w:val="3BC26595"/>
    <w:rsid w:val="3BC30095"/>
    <w:rsid w:val="3BC4754C"/>
    <w:rsid w:val="3BC6077A"/>
    <w:rsid w:val="3BC61C21"/>
    <w:rsid w:val="3BCA5B2F"/>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13CBE"/>
    <w:rsid w:val="3C3D7B62"/>
    <w:rsid w:val="3C4063BD"/>
    <w:rsid w:val="3C4C3D85"/>
    <w:rsid w:val="3C4D6B5C"/>
    <w:rsid w:val="3C4F0273"/>
    <w:rsid w:val="3C5532AC"/>
    <w:rsid w:val="3C5775B8"/>
    <w:rsid w:val="3C64429D"/>
    <w:rsid w:val="3C651B5F"/>
    <w:rsid w:val="3C6B6A77"/>
    <w:rsid w:val="3C6D5054"/>
    <w:rsid w:val="3C705F26"/>
    <w:rsid w:val="3C7D236C"/>
    <w:rsid w:val="3C914E1A"/>
    <w:rsid w:val="3C961419"/>
    <w:rsid w:val="3CA12CEA"/>
    <w:rsid w:val="3CA1514C"/>
    <w:rsid w:val="3CA40A32"/>
    <w:rsid w:val="3CAE61AF"/>
    <w:rsid w:val="3CC13333"/>
    <w:rsid w:val="3CCB357A"/>
    <w:rsid w:val="3CD259B2"/>
    <w:rsid w:val="3CDF6131"/>
    <w:rsid w:val="3CE712DC"/>
    <w:rsid w:val="3CE93697"/>
    <w:rsid w:val="3CED1A87"/>
    <w:rsid w:val="3CF06EF8"/>
    <w:rsid w:val="3CF1328C"/>
    <w:rsid w:val="3CF61DAF"/>
    <w:rsid w:val="3CF71B17"/>
    <w:rsid w:val="3D0016F4"/>
    <w:rsid w:val="3D0037E1"/>
    <w:rsid w:val="3D007FB3"/>
    <w:rsid w:val="3D0609DC"/>
    <w:rsid w:val="3D0C216F"/>
    <w:rsid w:val="3D125A97"/>
    <w:rsid w:val="3D157E61"/>
    <w:rsid w:val="3D2A3034"/>
    <w:rsid w:val="3D2E364F"/>
    <w:rsid w:val="3D330529"/>
    <w:rsid w:val="3D350B20"/>
    <w:rsid w:val="3D416EA9"/>
    <w:rsid w:val="3D465130"/>
    <w:rsid w:val="3D4A120B"/>
    <w:rsid w:val="3D4E3E7A"/>
    <w:rsid w:val="3D4E400A"/>
    <w:rsid w:val="3D5D4227"/>
    <w:rsid w:val="3D6C28B1"/>
    <w:rsid w:val="3D6F52B4"/>
    <w:rsid w:val="3D7555CB"/>
    <w:rsid w:val="3D8700E7"/>
    <w:rsid w:val="3D870916"/>
    <w:rsid w:val="3D870FA2"/>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7D8D"/>
    <w:rsid w:val="3DD07EF0"/>
    <w:rsid w:val="3DD20BEC"/>
    <w:rsid w:val="3DD40FC9"/>
    <w:rsid w:val="3DD73E2E"/>
    <w:rsid w:val="3DD80FBA"/>
    <w:rsid w:val="3DD847EF"/>
    <w:rsid w:val="3DE54197"/>
    <w:rsid w:val="3DE66CAD"/>
    <w:rsid w:val="3DEC2125"/>
    <w:rsid w:val="3DED756C"/>
    <w:rsid w:val="3DED75BC"/>
    <w:rsid w:val="3DF57E83"/>
    <w:rsid w:val="3DFB714F"/>
    <w:rsid w:val="3E0179CF"/>
    <w:rsid w:val="3E05565D"/>
    <w:rsid w:val="3E09196F"/>
    <w:rsid w:val="3E0E3CD1"/>
    <w:rsid w:val="3E104B56"/>
    <w:rsid w:val="3E11500B"/>
    <w:rsid w:val="3E121C70"/>
    <w:rsid w:val="3E153ADD"/>
    <w:rsid w:val="3E1C416D"/>
    <w:rsid w:val="3E1F13F2"/>
    <w:rsid w:val="3E2B0F56"/>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D3C29"/>
    <w:rsid w:val="3E706685"/>
    <w:rsid w:val="3E7562ED"/>
    <w:rsid w:val="3E761C95"/>
    <w:rsid w:val="3E780CD4"/>
    <w:rsid w:val="3E791298"/>
    <w:rsid w:val="3E7B597C"/>
    <w:rsid w:val="3E7D3EE4"/>
    <w:rsid w:val="3E7E4868"/>
    <w:rsid w:val="3E875ABB"/>
    <w:rsid w:val="3E89369F"/>
    <w:rsid w:val="3E901BC7"/>
    <w:rsid w:val="3E981B21"/>
    <w:rsid w:val="3E994555"/>
    <w:rsid w:val="3E9968E8"/>
    <w:rsid w:val="3EA10923"/>
    <w:rsid w:val="3EA24D12"/>
    <w:rsid w:val="3EA63C90"/>
    <w:rsid w:val="3EAE74CC"/>
    <w:rsid w:val="3EB02F1A"/>
    <w:rsid w:val="3EB80355"/>
    <w:rsid w:val="3EBA519B"/>
    <w:rsid w:val="3EBE6637"/>
    <w:rsid w:val="3EBF2289"/>
    <w:rsid w:val="3ECB1E79"/>
    <w:rsid w:val="3ED12E9B"/>
    <w:rsid w:val="3ED51A81"/>
    <w:rsid w:val="3ED521FB"/>
    <w:rsid w:val="3EDF3D71"/>
    <w:rsid w:val="3EEB1CC3"/>
    <w:rsid w:val="3EEB5FB9"/>
    <w:rsid w:val="3EF54409"/>
    <w:rsid w:val="3EF742CC"/>
    <w:rsid w:val="3EF7613F"/>
    <w:rsid w:val="3F065EFD"/>
    <w:rsid w:val="3F097060"/>
    <w:rsid w:val="3F0A2C69"/>
    <w:rsid w:val="3F1025F5"/>
    <w:rsid w:val="3F176143"/>
    <w:rsid w:val="3F1C451C"/>
    <w:rsid w:val="3F1E7746"/>
    <w:rsid w:val="3F1F5570"/>
    <w:rsid w:val="3F237C44"/>
    <w:rsid w:val="3F240610"/>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B227A2"/>
    <w:rsid w:val="3FB715DC"/>
    <w:rsid w:val="3FBA32BF"/>
    <w:rsid w:val="3FBD05DF"/>
    <w:rsid w:val="3FC05D9C"/>
    <w:rsid w:val="3FC55E1B"/>
    <w:rsid w:val="3FC5687C"/>
    <w:rsid w:val="3FC72CB0"/>
    <w:rsid w:val="3FC76C8B"/>
    <w:rsid w:val="3FCF23DD"/>
    <w:rsid w:val="3FD53B10"/>
    <w:rsid w:val="3FDE0824"/>
    <w:rsid w:val="3FE55521"/>
    <w:rsid w:val="3FE87344"/>
    <w:rsid w:val="3FEC092A"/>
    <w:rsid w:val="3FED59DB"/>
    <w:rsid w:val="3FED66AF"/>
    <w:rsid w:val="3FEF0D2C"/>
    <w:rsid w:val="3FEF3319"/>
    <w:rsid w:val="3FF60E9A"/>
    <w:rsid w:val="3FF62AA1"/>
    <w:rsid w:val="3FF6785B"/>
    <w:rsid w:val="3FF77631"/>
    <w:rsid w:val="3FF962D9"/>
    <w:rsid w:val="3FFF1D4F"/>
    <w:rsid w:val="40024B70"/>
    <w:rsid w:val="40101A85"/>
    <w:rsid w:val="401360FA"/>
    <w:rsid w:val="40177CAF"/>
    <w:rsid w:val="401B6747"/>
    <w:rsid w:val="40227A69"/>
    <w:rsid w:val="40255D56"/>
    <w:rsid w:val="402A1B16"/>
    <w:rsid w:val="402B5DF5"/>
    <w:rsid w:val="402F51DE"/>
    <w:rsid w:val="403741A7"/>
    <w:rsid w:val="403A4F03"/>
    <w:rsid w:val="40411392"/>
    <w:rsid w:val="4049221A"/>
    <w:rsid w:val="404A0209"/>
    <w:rsid w:val="404A2F89"/>
    <w:rsid w:val="40595714"/>
    <w:rsid w:val="406177D9"/>
    <w:rsid w:val="40635377"/>
    <w:rsid w:val="406A3621"/>
    <w:rsid w:val="407066C3"/>
    <w:rsid w:val="40775EFD"/>
    <w:rsid w:val="407A080F"/>
    <w:rsid w:val="407B3D06"/>
    <w:rsid w:val="40844021"/>
    <w:rsid w:val="408604AB"/>
    <w:rsid w:val="40891323"/>
    <w:rsid w:val="408F6C4D"/>
    <w:rsid w:val="40924A6B"/>
    <w:rsid w:val="4097144A"/>
    <w:rsid w:val="40A27041"/>
    <w:rsid w:val="40A84378"/>
    <w:rsid w:val="40AB4BB4"/>
    <w:rsid w:val="40B24A84"/>
    <w:rsid w:val="40BB567D"/>
    <w:rsid w:val="40BF2A94"/>
    <w:rsid w:val="40C103B9"/>
    <w:rsid w:val="40C633D4"/>
    <w:rsid w:val="40C7688B"/>
    <w:rsid w:val="40CB578E"/>
    <w:rsid w:val="40CD1B60"/>
    <w:rsid w:val="40DF4097"/>
    <w:rsid w:val="40E55E1D"/>
    <w:rsid w:val="40E745F9"/>
    <w:rsid w:val="40EA073F"/>
    <w:rsid w:val="40EB1A84"/>
    <w:rsid w:val="40EC4B5C"/>
    <w:rsid w:val="40F137A1"/>
    <w:rsid w:val="40F2798F"/>
    <w:rsid w:val="40FC7A59"/>
    <w:rsid w:val="40FD313A"/>
    <w:rsid w:val="40FE53E8"/>
    <w:rsid w:val="41002236"/>
    <w:rsid w:val="41004331"/>
    <w:rsid w:val="410814CC"/>
    <w:rsid w:val="41090D7C"/>
    <w:rsid w:val="410A0556"/>
    <w:rsid w:val="410F2F53"/>
    <w:rsid w:val="411772FD"/>
    <w:rsid w:val="411B0CCA"/>
    <w:rsid w:val="411B1C5A"/>
    <w:rsid w:val="411B75C9"/>
    <w:rsid w:val="411C226A"/>
    <w:rsid w:val="412628C0"/>
    <w:rsid w:val="41390A07"/>
    <w:rsid w:val="413F5188"/>
    <w:rsid w:val="414277A8"/>
    <w:rsid w:val="414B3AA2"/>
    <w:rsid w:val="41502926"/>
    <w:rsid w:val="41513189"/>
    <w:rsid w:val="41622BA0"/>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C1602"/>
    <w:rsid w:val="41AC37E7"/>
    <w:rsid w:val="41AD27F9"/>
    <w:rsid w:val="41AE1A67"/>
    <w:rsid w:val="41B019C7"/>
    <w:rsid w:val="41B514A9"/>
    <w:rsid w:val="41B61AB1"/>
    <w:rsid w:val="41C12AA3"/>
    <w:rsid w:val="41C46E77"/>
    <w:rsid w:val="41D8108E"/>
    <w:rsid w:val="41D87523"/>
    <w:rsid w:val="41D91076"/>
    <w:rsid w:val="41DF2F70"/>
    <w:rsid w:val="41E224AE"/>
    <w:rsid w:val="41E756B0"/>
    <w:rsid w:val="41E971DB"/>
    <w:rsid w:val="41ED1734"/>
    <w:rsid w:val="41F4693E"/>
    <w:rsid w:val="41F553C7"/>
    <w:rsid w:val="41FD3BFE"/>
    <w:rsid w:val="42080B34"/>
    <w:rsid w:val="420C2676"/>
    <w:rsid w:val="421E7A97"/>
    <w:rsid w:val="421F0F55"/>
    <w:rsid w:val="421F2718"/>
    <w:rsid w:val="42224CC6"/>
    <w:rsid w:val="422B1696"/>
    <w:rsid w:val="42331624"/>
    <w:rsid w:val="424060C2"/>
    <w:rsid w:val="42412036"/>
    <w:rsid w:val="42425838"/>
    <w:rsid w:val="42471762"/>
    <w:rsid w:val="424A1A38"/>
    <w:rsid w:val="425021A3"/>
    <w:rsid w:val="4251230D"/>
    <w:rsid w:val="42526049"/>
    <w:rsid w:val="42544483"/>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D849EE"/>
    <w:rsid w:val="42DC3029"/>
    <w:rsid w:val="42DC5A8C"/>
    <w:rsid w:val="42DD0067"/>
    <w:rsid w:val="42E502F5"/>
    <w:rsid w:val="42E87402"/>
    <w:rsid w:val="42EB6D52"/>
    <w:rsid w:val="43021632"/>
    <w:rsid w:val="43072A65"/>
    <w:rsid w:val="43092E10"/>
    <w:rsid w:val="430A27B3"/>
    <w:rsid w:val="430B5D6E"/>
    <w:rsid w:val="431049B1"/>
    <w:rsid w:val="431B3898"/>
    <w:rsid w:val="4322345A"/>
    <w:rsid w:val="43231966"/>
    <w:rsid w:val="43232B12"/>
    <w:rsid w:val="43251E1F"/>
    <w:rsid w:val="43273F04"/>
    <w:rsid w:val="432A7A55"/>
    <w:rsid w:val="432D6382"/>
    <w:rsid w:val="43314493"/>
    <w:rsid w:val="43332BD3"/>
    <w:rsid w:val="43367CDF"/>
    <w:rsid w:val="433E6455"/>
    <w:rsid w:val="434425F8"/>
    <w:rsid w:val="4345760E"/>
    <w:rsid w:val="434677FF"/>
    <w:rsid w:val="43496B59"/>
    <w:rsid w:val="43592EBF"/>
    <w:rsid w:val="43596015"/>
    <w:rsid w:val="435B4BE5"/>
    <w:rsid w:val="4360500C"/>
    <w:rsid w:val="436073DA"/>
    <w:rsid w:val="43695BEA"/>
    <w:rsid w:val="436971F6"/>
    <w:rsid w:val="436D13EF"/>
    <w:rsid w:val="436E482F"/>
    <w:rsid w:val="437C7469"/>
    <w:rsid w:val="437D16BC"/>
    <w:rsid w:val="437F682E"/>
    <w:rsid w:val="43870627"/>
    <w:rsid w:val="438D7B84"/>
    <w:rsid w:val="438F0B98"/>
    <w:rsid w:val="439033AD"/>
    <w:rsid w:val="439926C0"/>
    <w:rsid w:val="439D2829"/>
    <w:rsid w:val="43A169B7"/>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42784"/>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34580"/>
    <w:rsid w:val="44535ADB"/>
    <w:rsid w:val="44570410"/>
    <w:rsid w:val="445E7171"/>
    <w:rsid w:val="445F38CD"/>
    <w:rsid w:val="44607765"/>
    <w:rsid w:val="44687373"/>
    <w:rsid w:val="4469781B"/>
    <w:rsid w:val="446B012C"/>
    <w:rsid w:val="446B78B4"/>
    <w:rsid w:val="44702C91"/>
    <w:rsid w:val="44724C49"/>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F0462"/>
    <w:rsid w:val="44E35CD5"/>
    <w:rsid w:val="44E7455F"/>
    <w:rsid w:val="44E86C5D"/>
    <w:rsid w:val="44EB6549"/>
    <w:rsid w:val="44EF0E18"/>
    <w:rsid w:val="44F05A97"/>
    <w:rsid w:val="44F45801"/>
    <w:rsid w:val="44FA3828"/>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C0F24"/>
    <w:rsid w:val="453E6E09"/>
    <w:rsid w:val="454012E7"/>
    <w:rsid w:val="45434E8C"/>
    <w:rsid w:val="45444A9D"/>
    <w:rsid w:val="454A343E"/>
    <w:rsid w:val="45551856"/>
    <w:rsid w:val="45556C4B"/>
    <w:rsid w:val="45564419"/>
    <w:rsid w:val="45582AA2"/>
    <w:rsid w:val="45601CE9"/>
    <w:rsid w:val="456B7A72"/>
    <w:rsid w:val="457C1C68"/>
    <w:rsid w:val="457E6C02"/>
    <w:rsid w:val="458253D4"/>
    <w:rsid w:val="45835123"/>
    <w:rsid w:val="458A12A4"/>
    <w:rsid w:val="45953886"/>
    <w:rsid w:val="459A5728"/>
    <w:rsid w:val="45A806FF"/>
    <w:rsid w:val="45AE4807"/>
    <w:rsid w:val="45B81980"/>
    <w:rsid w:val="45C0090A"/>
    <w:rsid w:val="45C2287C"/>
    <w:rsid w:val="45C647F0"/>
    <w:rsid w:val="45CB1DBD"/>
    <w:rsid w:val="45D13678"/>
    <w:rsid w:val="45E3280A"/>
    <w:rsid w:val="45F46BD5"/>
    <w:rsid w:val="45F9658B"/>
    <w:rsid w:val="460901E2"/>
    <w:rsid w:val="460E70F2"/>
    <w:rsid w:val="46300ECC"/>
    <w:rsid w:val="46333D16"/>
    <w:rsid w:val="46340BB8"/>
    <w:rsid w:val="463A512E"/>
    <w:rsid w:val="46472534"/>
    <w:rsid w:val="464B1BCE"/>
    <w:rsid w:val="465A3C55"/>
    <w:rsid w:val="465E45BA"/>
    <w:rsid w:val="465E4A48"/>
    <w:rsid w:val="46601C9C"/>
    <w:rsid w:val="466615E3"/>
    <w:rsid w:val="466D0B7B"/>
    <w:rsid w:val="468B66C1"/>
    <w:rsid w:val="469400A8"/>
    <w:rsid w:val="46953C13"/>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B1DAE"/>
    <w:rsid w:val="47001B66"/>
    <w:rsid w:val="47093AE6"/>
    <w:rsid w:val="470C6DA6"/>
    <w:rsid w:val="470E762E"/>
    <w:rsid w:val="471068CA"/>
    <w:rsid w:val="4712134D"/>
    <w:rsid w:val="471221B2"/>
    <w:rsid w:val="47210371"/>
    <w:rsid w:val="47215D37"/>
    <w:rsid w:val="472A2D7B"/>
    <w:rsid w:val="472B01AC"/>
    <w:rsid w:val="472B350D"/>
    <w:rsid w:val="472B61FA"/>
    <w:rsid w:val="47317921"/>
    <w:rsid w:val="4736247E"/>
    <w:rsid w:val="4736396C"/>
    <w:rsid w:val="47373FD8"/>
    <w:rsid w:val="473A2F5A"/>
    <w:rsid w:val="473B0657"/>
    <w:rsid w:val="473B3D78"/>
    <w:rsid w:val="473C77B9"/>
    <w:rsid w:val="47460375"/>
    <w:rsid w:val="474A472D"/>
    <w:rsid w:val="475753A8"/>
    <w:rsid w:val="47586FED"/>
    <w:rsid w:val="475E470D"/>
    <w:rsid w:val="476068F1"/>
    <w:rsid w:val="47641EB1"/>
    <w:rsid w:val="476A715B"/>
    <w:rsid w:val="476B4434"/>
    <w:rsid w:val="476E2BE3"/>
    <w:rsid w:val="47716C2D"/>
    <w:rsid w:val="47745B57"/>
    <w:rsid w:val="47763B2D"/>
    <w:rsid w:val="477B277D"/>
    <w:rsid w:val="477C2090"/>
    <w:rsid w:val="478373EB"/>
    <w:rsid w:val="478A3491"/>
    <w:rsid w:val="478A5B52"/>
    <w:rsid w:val="478F46FA"/>
    <w:rsid w:val="479426C3"/>
    <w:rsid w:val="479C6AB4"/>
    <w:rsid w:val="47A017D9"/>
    <w:rsid w:val="47A02626"/>
    <w:rsid w:val="47A0285B"/>
    <w:rsid w:val="47AE27BB"/>
    <w:rsid w:val="47AF00BD"/>
    <w:rsid w:val="47AF33C3"/>
    <w:rsid w:val="47B52006"/>
    <w:rsid w:val="47B633CA"/>
    <w:rsid w:val="47BC3738"/>
    <w:rsid w:val="47BD5C18"/>
    <w:rsid w:val="47C71CAB"/>
    <w:rsid w:val="47C72802"/>
    <w:rsid w:val="47CD2BC5"/>
    <w:rsid w:val="47CF2DA8"/>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207F42"/>
    <w:rsid w:val="482271D9"/>
    <w:rsid w:val="48234CA7"/>
    <w:rsid w:val="4824477E"/>
    <w:rsid w:val="48286B99"/>
    <w:rsid w:val="4829071D"/>
    <w:rsid w:val="482D1145"/>
    <w:rsid w:val="482D3A88"/>
    <w:rsid w:val="482F59FD"/>
    <w:rsid w:val="48350D5B"/>
    <w:rsid w:val="48362C6D"/>
    <w:rsid w:val="48384D88"/>
    <w:rsid w:val="483C1C82"/>
    <w:rsid w:val="48400E8A"/>
    <w:rsid w:val="48416F82"/>
    <w:rsid w:val="484F41A2"/>
    <w:rsid w:val="48523A34"/>
    <w:rsid w:val="485F4663"/>
    <w:rsid w:val="485F70FF"/>
    <w:rsid w:val="48617739"/>
    <w:rsid w:val="48635EB3"/>
    <w:rsid w:val="486A2830"/>
    <w:rsid w:val="486C5614"/>
    <w:rsid w:val="486C6A8A"/>
    <w:rsid w:val="486E771F"/>
    <w:rsid w:val="48711F85"/>
    <w:rsid w:val="487D49EA"/>
    <w:rsid w:val="488657A1"/>
    <w:rsid w:val="488B279E"/>
    <w:rsid w:val="488C67B6"/>
    <w:rsid w:val="489C391E"/>
    <w:rsid w:val="489D1A1D"/>
    <w:rsid w:val="48A46169"/>
    <w:rsid w:val="48A5233A"/>
    <w:rsid w:val="48B32DFD"/>
    <w:rsid w:val="48B707D0"/>
    <w:rsid w:val="48C27A4C"/>
    <w:rsid w:val="48C43321"/>
    <w:rsid w:val="48C63B56"/>
    <w:rsid w:val="48D0509E"/>
    <w:rsid w:val="48DB1003"/>
    <w:rsid w:val="48E10B93"/>
    <w:rsid w:val="48E17D75"/>
    <w:rsid w:val="48ED742E"/>
    <w:rsid w:val="48EF18C9"/>
    <w:rsid w:val="48F82359"/>
    <w:rsid w:val="48FB40DA"/>
    <w:rsid w:val="48FD5F69"/>
    <w:rsid w:val="49004F9E"/>
    <w:rsid w:val="49042181"/>
    <w:rsid w:val="49065038"/>
    <w:rsid w:val="490941C4"/>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77ABB"/>
    <w:rsid w:val="49657300"/>
    <w:rsid w:val="49681029"/>
    <w:rsid w:val="49737639"/>
    <w:rsid w:val="497A4AAC"/>
    <w:rsid w:val="497D0172"/>
    <w:rsid w:val="49802354"/>
    <w:rsid w:val="498B628E"/>
    <w:rsid w:val="49963E14"/>
    <w:rsid w:val="49967804"/>
    <w:rsid w:val="499721AD"/>
    <w:rsid w:val="499762DC"/>
    <w:rsid w:val="49980409"/>
    <w:rsid w:val="499C0F2B"/>
    <w:rsid w:val="49A47274"/>
    <w:rsid w:val="49AD512B"/>
    <w:rsid w:val="49B23D17"/>
    <w:rsid w:val="49B37D36"/>
    <w:rsid w:val="49B702DC"/>
    <w:rsid w:val="49BC2B2A"/>
    <w:rsid w:val="49BF7DBC"/>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C1EE8"/>
    <w:rsid w:val="4A0D60CC"/>
    <w:rsid w:val="4A0E2231"/>
    <w:rsid w:val="4A151985"/>
    <w:rsid w:val="4A183223"/>
    <w:rsid w:val="4A192C32"/>
    <w:rsid w:val="4A1C0D1E"/>
    <w:rsid w:val="4A1D2BB3"/>
    <w:rsid w:val="4A201730"/>
    <w:rsid w:val="4A226DCB"/>
    <w:rsid w:val="4A2361B1"/>
    <w:rsid w:val="4A246681"/>
    <w:rsid w:val="4A2E3165"/>
    <w:rsid w:val="4A33337A"/>
    <w:rsid w:val="4A375652"/>
    <w:rsid w:val="4A4113CD"/>
    <w:rsid w:val="4A492F58"/>
    <w:rsid w:val="4A504178"/>
    <w:rsid w:val="4A5F3240"/>
    <w:rsid w:val="4A604594"/>
    <w:rsid w:val="4A614402"/>
    <w:rsid w:val="4A626F0F"/>
    <w:rsid w:val="4A6615BE"/>
    <w:rsid w:val="4A67393B"/>
    <w:rsid w:val="4A6827A8"/>
    <w:rsid w:val="4A6A0509"/>
    <w:rsid w:val="4A6B40B3"/>
    <w:rsid w:val="4A743AFF"/>
    <w:rsid w:val="4A747317"/>
    <w:rsid w:val="4A7A3E5B"/>
    <w:rsid w:val="4A802ED6"/>
    <w:rsid w:val="4A807769"/>
    <w:rsid w:val="4A8369D0"/>
    <w:rsid w:val="4A865085"/>
    <w:rsid w:val="4A9222F5"/>
    <w:rsid w:val="4A923056"/>
    <w:rsid w:val="4AA14A86"/>
    <w:rsid w:val="4AA43A1F"/>
    <w:rsid w:val="4AAC3954"/>
    <w:rsid w:val="4AB33224"/>
    <w:rsid w:val="4AB61230"/>
    <w:rsid w:val="4AB71223"/>
    <w:rsid w:val="4ABB09B7"/>
    <w:rsid w:val="4AC97402"/>
    <w:rsid w:val="4ACF133B"/>
    <w:rsid w:val="4AD13278"/>
    <w:rsid w:val="4AD67579"/>
    <w:rsid w:val="4AE04436"/>
    <w:rsid w:val="4AE54455"/>
    <w:rsid w:val="4AE611E2"/>
    <w:rsid w:val="4AEA6393"/>
    <w:rsid w:val="4AEF0DD0"/>
    <w:rsid w:val="4AF17E98"/>
    <w:rsid w:val="4AF50A41"/>
    <w:rsid w:val="4AFB18B0"/>
    <w:rsid w:val="4B033329"/>
    <w:rsid w:val="4B07269D"/>
    <w:rsid w:val="4B092A4D"/>
    <w:rsid w:val="4B131851"/>
    <w:rsid w:val="4B1961E1"/>
    <w:rsid w:val="4B273C96"/>
    <w:rsid w:val="4B2E7802"/>
    <w:rsid w:val="4B303F35"/>
    <w:rsid w:val="4B337754"/>
    <w:rsid w:val="4B3C7B12"/>
    <w:rsid w:val="4B3E514A"/>
    <w:rsid w:val="4B405B8A"/>
    <w:rsid w:val="4B4668DC"/>
    <w:rsid w:val="4B532F78"/>
    <w:rsid w:val="4B5F454F"/>
    <w:rsid w:val="4B6978BA"/>
    <w:rsid w:val="4B712C4F"/>
    <w:rsid w:val="4B753B02"/>
    <w:rsid w:val="4B771B2F"/>
    <w:rsid w:val="4B7D65E4"/>
    <w:rsid w:val="4B800228"/>
    <w:rsid w:val="4B83536F"/>
    <w:rsid w:val="4B895755"/>
    <w:rsid w:val="4B897210"/>
    <w:rsid w:val="4B8E440D"/>
    <w:rsid w:val="4B8F4628"/>
    <w:rsid w:val="4BA42BD9"/>
    <w:rsid w:val="4BAB32BC"/>
    <w:rsid w:val="4BAE122E"/>
    <w:rsid w:val="4BBC02D7"/>
    <w:rsid w:val="4BC12B18"/>
    <w:rsid w:val="4BC61DC5"/>
    <w:rsid w:val="4BC63121"/>
    <w:rsid w:val="4BD20C60"/>
    <w:rsid w:val="4BD50A80"/>
    <w:rsid w:val="4BD66764"/>
    <w:rsid w:val="4BDB21FA"/>
    <w:rsid w:val="4BE36C71"/>
    <w:rsid w:val="4BE723E2"/>
    <w:rsid w:val="4BE9437C"/>
    <w:rsid w:val="4BF545DC"/>
    <w:rsid w:val="4BF57E51"/>
    <w:rsid w:val="4BF86379"/>
    <w:rsid w:val="4BFF3DF6"/>
    <w:rsid w:val="4C027991"/>
    <w:rsid w:val="4C1103CF"/>
    <w:rsid w:val="4C18422D"/>
    <w:rsid w:val="4C1E3CDD"/>
    <w:rsid w:val="4C2073F9"/>
    <w:rsid w:val="4C252F00"/>
    <w:rsid w:val="4C346B81"/>
    <w:rsid w:val="4C4166CC"/>
    <w:rsid w:val="4C452FFF"/>
    <w:rsid w:val="4C4E4107"/>
    <w:rsid w:val="4C554981"/>
    <w:rsid w:val="4C557A11"/>
    <w:rsid w:val="4C5F51D8"/>
    <w:rsid w:val="4C623797"/>
    <w:rsid w:val="4C63031C"/>
    <w:rsid w:val="4C6740A2"/>
    <w:rsid w:val="4C756015"/>
    <w:rsid w:val="4C7C031A"/>
    <w:rsid w:val="4C7C08D0"/>
    <w:rsid w:val="4C7D70E8"/>
    <w:rsid w:val="4C860B2A"/>
    <w:rsid w:val="4C8853AD"/>
    <w:rsid w:val="4C892CF0"/>
    <w:rsid w:val="4C8E2FBA"/>
    <w:rsid w:val="4C95773A"/>
    <w:rsid w:val="4C990BCD"/>
    <w:rsid w:val="4C9A4A99"/>
    <w:rsid w:val="4C9E19A3"/>
    <w:rsid w:val="4CA2019D"/>
    <w:rsid w:val="4CA37041"/>
    <w:rsid w:val="4CAC5935"/>
    <w:rsid w:val="4CAE0A1E"/>
    <w:rsid w:val="4CAE34C1"/>
    <w:rsid w:val="4CB65182"/>
    <w:rsid w:val="4CBC4853"/>
    <w:rsid w:val="4CBE7285"/>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15133"/>
    <w:rsid w:val="4D1B7EE6"/>
    <w:rsid w:val="4D1D3D38"/>
    <w:rsid w:val="4D2311AE"/>
    <w:rsid w:val="4D2C14E2"/>
    <w:rsid w:val="4D322434"/>
    <w:rsid w:val="4D3A6803"/>
    <w:rsid w:val="4D3E1F5E"/>
    <w:rsid w:val="4D4F6840"/>
    <w:rsid w:val="4D510C1A"/>
    <w:rsid w:val="4D537F79"/>
    <w:rsid w:val="4D5435D1"/>
    <w:rsid w:val="4D583778"/>
    <w:rsid w:val="4D5D3F9F"/>
    <w:rsid w:val="4D5F1D6B"/>
    <w:rsid w:val="4D623995"/>
    <w:rsid w:val="4D653D24"/>
    <w:rsid w:val="4D6E4167"/>
    <w:rsid w:val="4D7300B7"/>
    <w:rsid w:val="4D7A7B9A"/>
    <w:rsid w:val="4D806E2B"/>
    <w:rsid w:val="4D814417"/>
    <w:rsid w:val="4D817CA8"/>
    <w:rsid w:val="4D86521D"/>
    <w:rsid w:val="4D8733CA"/>
    <w:rsid w:val="4D891189"/>
    <w:rsid w:val="4D913378"/>
    <w:rsid w:val="4D9532EE"/>
    <w:rsid w:val="4D961A7E"/>
    <w:rsid w:val="4D9D6C26"/>
    <w:rsid w:val="4D9E1302"/>
    <w:rsid w:val="4DA213F9"/>
    <w:rsid w:val="4DAE182B"/>
    <w:rsid w:val="4DC005BF"/>
    <w:rsid w:val="4DC24F3B"/>
    <w:rsid w:val="4DC77BEE"/>
    <w:rsid w:val="4DCC2553"/>
    <w:rsid w:val="4DCC25D9"/>
    <w:rsid w:val="4DD052D5"/>
    <w:rsid w:val="4DDD43EF"/>
    <w:rsid w:val="4DE01E78"/>
    <w:rsid w:val="4DE965A6"/>
    <w:rsid w:val="4DF50639"/>
    <w:rsid w:val="4DFE0F00"/>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2F0248"/>
    <w:rsid w:val="4E38084A"/>
    <w:rsid w:val="4E397D9B"/>
    <w:rsid w:val="4E3A3C43"/>
    <w:rsid w:val="4E3B60AD"/>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84426"/>
    <w:rsid w:val="4EAB217A"/>
    <w:rsid w:val="4EB52137"/>
    <w:rsid w:val="4EB73E2F"/>
    <w:rsid w:val="4EC51408"/>
    <w:rsid w:val="4EC96A14"/>
    <w:rsid w:val="4ECA712B"/>
    <w:rsid w:val="4ECC7C48"/>
    <w:rsid w:val="4ECE7319"/>
    <w:rsid w:val="4ED4606D"/>
    <w:rsid w:val="4ED7507A"/>
    <w:rsid w:val="4EDA3871"/>
    <w:rsid w:val="4EDC0039"/>
    <w:rsid w:val="4EE02939"/>
    <w:rsid w:val="4EE96C24"/>
    <w:rsid w:val="4EF03416"/>
    <w:rsid w:val="4EF6190B"/>
    <w:rsid w:val="4EF640EE"/>
    <w:rsid w:val="4EF77C82"/>
    <w:rsid w:val="4EFB0C15"/>
    <w:rsid w:val="4EFE781C"/>
    <w:rsid w:val="4F0C6077"/>
    <w:rsid w:val="4F14132F"/>
    <w:rsid w:val="4F163FBA"/>
    <w:rsid w:val="4F195EE2"/>
    <w:rsid w:val="4F1B2E4E"/>
    <w:rsid w:val="4F327290"/>
    <w:rsid w:val="4F3A1522"/>
    <w:rsid w:val="4F3A454E"/>
    <w:rsid w:val="4F41097C"/>
    <w:rsid w:val="4F4137B3"/>
    <w:rsid w:val="4F482860"/>
    <w:rsid w:val="4F487299"/>
    <w:rsid w:val="4F4A1A20"/>
    <w:rsid w:val="4F4E2A7B"/>
    <w:rsid w:val="4F5176B3"/>
    <w:rsid w:val="4F5F456C"/>
    <w:rsid w:val="4F5F7A29"/>
    <w:rsid w:val="4F600E8B"/>
    <w:rsid w:val="4F645455"/>
    <w:rsid w:val="4F672CB5"/>
    <w:rsid w:val="4F6B2E6E"/>
    <w:rsid w:val="4F6E728A"/>
    <w:rsid w:val="4F6F6123"/>
    <w:rsid w:val="4F735BC9"/>
    <w:rsid w:val="4F737237"/>
    <w:rsid w:val="4F79638C"/>
    <w:rsid w:val="4F805BCB"/>
    <w:rsid w:val="4F817618"/>
    <w:rsid w:val="4F820D83"/>
    <w:rsid w:val="4F877E31"/>
    <w:rsid w:val="4F8A306F"/>
    <w:rsid w:val="4F8B17D4"/>
    <w:rsid w:val="4F937B21"/>
    <w:rsid w:val="4FA35065"/>
    <w:rsid w:val="4FA71943"/>
    <w:rsid w:val="4FB36127"/>
    <w:rsid w:val="4FB758B2"/>
    <w:rsid w:val="4FC94AF2"/>
    <w:rsid w:val="4FCB5260"/>
    <w:rsid w:val="4FCB650F"/>
    <w:rsid w:val="4FCE3EC5"/>
    <w:rsid w:val="4FE00E81"/>
    <w:rsid w:val="4FE45BD1"/>
    <w:rsid w:val="4FE56060"/>
    <w:rsid w:val="4FEA0FEF"/>
    <w:rsid w:val="4FEE3280"/>
    <w:rsid w:val="4FF36DA2"/>
    <w:rsid w:val="4FFE02AC"/>
    <w:rsid w:val="50024D7D"/>
    <w:rsid w:val="500647A0"/>
    <w:rsid w:val="500779F7"/>
    <w:rsid w:val="500F2C52"/>
    <w:rsid w:val="50115029"/>
    <w:rsid w:val="50130207"/>
    <w:rsid w:val="50167B60"/>
    <w:rsid w:val="50186DCC"/>
    <w:rsid w:val="50325A21"/>
    <w:rsid w:val="50337DE4"/>
    <w:rsid w:val="503A4A06"/>
    <w:rsid w:val="504827D0"/>
    <w:rsid w:val="50551A7C"/>
    <w:rsid w:val="50590640"/>
    <w:rsid w:val="505A1971"/>
    <w:rsid w:val="505B00FA"/>
    <w:rsid w:val="506468A8"/>
    <w:rsid w:val="506E5351"/>
    <w:rsid w:val="50755F46"/>
    <w:rsid w:val="507B2726"/>
    <w:rsid w:val="507D05D7"/>
    <w:rsid w:val="507D0D7F"/>
    <w:rsid w:val="507F13BF"/>
    <w:rsid w:val="50840781"/>
    <w:rsid w:val="50845052"/>
    <w:rsid w:val="50846EC4"/>
    <w:rsid w:val="50884A32"/>
    <w:rsid w:val="509029E8"/>
    <w:rsid w:val="509254DF"/>
    <w:rsid w:val="50940432"/>
    <w:rsid w:val="5099452D"/>
    <w:rsid w:val="509B7833"/>
    <w:rsid w:val="509E6025"/>
    <w:rsid w:val="50A27CE2"/>
    <w:rsid w:val="50AB3438"/>
    <w:rsid w:val="50B93693"/>
    <w:rsid w:val="50BA537E"/>
    <w:rsid w:val="50BD1960"/>
    <w:rsid w:val="50C141E4"/>
    <w:rsid w:val="50C234E3"/>
    <w:rsid w:val="50C563FB"/>
    <w:rsid w:val="50C862F8"/>
    <w:rsid w:val="50D268DF"/>
    <w:rsid w:val="50D32DBC"/>
    <w:rsid w:val="50DA0DE1"/>
    <w:rsid w:val="50DE003A"/>
    <w:rsid w:val="50E850A8"/>
    <w:rsid w:val="50EE1F92"/>
    <w:rsid w:val="51085839"/>
    <w:rsid w:val="51085F1B"/>
    <w:rsid w:val="510A4ABF"/>
    <w:rsid w:val="511749CA"/>
    <w:rsid w:val="51176F32"/>
    <w:rsid w:val="511B57BF"/>
    <w:rsid w:val="513762B1"/>
    <w:rsid w:val="513D447B"/>
    <w:rsid w:val="513D4AA1"/>
    <w:rsid w:val="513E5DE2"/>
    <w:rsid w:val="513F74AF"/>
    <w:rsid w:val="51413DE5"/>
    <w:rsid w:val="5146189A"/>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B37051"/>
    <w:rsid w:val="51B44B36"/>
    <w:rsid w:val="51B51E93"/>
    <w:rsid w:val="51BC7B58"/>
    <w:rsid w:val="51C10EBB"/>
    <w:rsid w:val="51C436C9"/>
    <w:rsid w:val="51DA4E91"/>
    <w:rsid w:val="51DF24D3"/>
    <w:rsid w:val="51E96BB5"/>
    <w:rsid w:val="51EF47CF"/>
    <w:rsid w:val="51FF7286"/>
    <w:rsid w:val="5207265A"/>
    <w:rsid w:val="521153DD"/>
    <w:rsid w:val="521A6B40"/>
    <w:rsid w:val="521C7DEC"/>
    <w:rsid w:val="52345124"/>
    <w:rsid w:val="523A44B9"/>
    <w:rsid w:val="523E191D"/>
    <w:rsid w:val="52427E0F"/>
    <w:rsid w:val="524679A7"/>
    <w:rsid w:val="525734FF"/>
    <w:rsid w:val="52574D1E"/>
    <w:rsid w:val="52595D17"/>
    <w:rsid w:val="525A7FC2"/>
    <w:rsid w:val="525C0A6D"/>
    <w:rsid w:val="52631DD3"/>
    <w:rsid w:val="52651931"/>
    <w:rsid w:val="526C058E"/>
    <w:rsid w:val="527273C4"/>
    <w:rsid w:val="527564BE"/>
    <w:rsid w:val="52764A75"/>
    <w:rsid w:val="527B13A9"/>
    <w:rsid w:val="52832444"/>
    <w:rsid w:val="52934ED9"/>
    <w:rsid w:val="52962AB6"/>
    <w:rsid w:val="529820D1"/>
    <w:rsid w:val="529A4C30"/>
    <w:rsid w:val="529D3AD0"/>
    <w:rsid w:val="52A61AD6"/>
    <w:rsid w:val="52A918AF"/>
    <w:rsid w:val="52AE4D81"/>
    <w:rsid w:val="52B13F6B"/>
    <w:rsid w:val="52C3312F"/>
    <w:rsid w:val="52C41E43"/>
    <w:rsid w:val="52CB35C3"/>
    <w:rsid w:val="52D26F48"/>
    <w:rsid w:val="52D7371E"/>
    <w:rsid w:val="52D834B9"/>
    <w:rsid w:val="52DA335F"/>
    <w:rsid w:val="52E82BAB"/>
    <w:rsid w:val="52EC055C"/>
    <w:rsid w:val="52F67C81"/>
    <w:rsid w:val="52F735D1"/>
    <w:rsid w:val="52FB6976"/>
    <w:rsid w:val="5304790E"/>
    <w:rsid w:val="53047CEB"/>
    <w:rsid w:val="530557E5"/>
    <w:rsid w:val="53060EA7"/>
    <w:rsid w:val="530E44EC"/>
    <w:rsid w:val="53132479"/>
    <w:rsid w:val="53175A27"/>
    <w:rsid w:val="531A0591"/>
    <w:rsid w:val="531C47D1"/>
    <w:rsid w:val="531F6FC1"/>
    <w:rsid w:val="53265149"/>
    <w:rsid w:val="53266050"/>
    <w:rsid w:val="532B54A4"/>
    <w:rsid w:val="533A2F06"/>
    <w:rsid w:val="533B4476"/>
    <w:rsid w:val="533C1ABE"/>
    <w:rsid w:val="5347181F"/>
    <w:rsid w:val="53497F2F"/>
    <w:rsid w:val="534A0837"/>
    <w:rsid w:val="534D0A97"/>
    <w:rsid w:val="53573D26"/>
    <w:rsid w:val="53601B39"/>
    <w:rsid w:val="536833D0"/>
    <w:rsid w:val="5369043F"/>
    <w:rsid w:val="536F406D"/>
    <w:rsid w:val="537C5062"/>
    <w:rsid w:val="537D0CE9"/>
    <w:rsid w:val="538051E9"/>
    <w:rsid w:val="53834FC0"/>
    <w:rsid w:val="53961443"/>
    <w:rsid w:val="53A37A08"/>
    <w:rsid w:val="53A756C3"/>
    <w:rsid w:val="53AC7990"/>
    <w:rsid w:val="53B27316"/>
    <w:rsid w:val="53B425A2"/>
    <w:rsid w:val="53B47FF2"/>
    <w:rsid w:val="53B51C0D"/>
    <w:rsid w:val="53B53851"/>
    <w:rsid w:val="53B954D9"/>
    <w:rsid w:val="53BB6C30"/>
    <w:rsid w:val="53BF6E4D"/>
    <w:rsid w:val="53C023FC"/>
    <w:rsid w:val="53D477B3"/>
    <w:rsid w:val="53D47B32"/>
    <w:rsid w:val="53D80CEA"/>
    <w:rsid w:val="53D86784"/>
    <w:rsid w:val="53E1263C"/>
    <w:rsid w:val="53EC5739"/>
    <w:rsid w:val="53EF53F8"/>
    <w:rsid w:val="53F060D3"/>
    <w:rsid w:val="53F54B80"/>
    <w:rsid w:val="53FC12EF"/>
    <w:rsid w:val="540026BD"/>
    <w:rsid w:val="540B324D"/>
    <w:rsid w:val="540B7A19"/>
    <w:rsid w:val="540D4DD6"/>
    <w:rsid w:val="540D6DFE"/>
    <w:rsid w:val="541372BB"/>
    <w:rsid w:val="54145659"/>
    <w:rsid w:val="541F56D1"/>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61107"/>
    <w:rsid w:val="54672CD4"/>
    <w:rsid w:val="54716CEC"/>
    <w:rsid w:val="547312A9"/>
    <w:rsid w:val="547475CB"/>
    <w:rsid w:val="547A5E91"/>
    <w:rsid w:val="548A4E03"/>
    <w:rsid w:val="5492780C"/>
    <w:rsid w:val="54956E77"/>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F651B3"/>
    <w:rsid w:val="54F66DE2"/>
    <w:rsid w:val="55067A91"/>
    <w:rsid w:val="5514461C"/>
    <w:rsid w:val="551D5716"/>
    <w:rsid w:val="551E5F55"/>
    <w:rsid w:val="55233B35"/>
    <w:rsid w:val="55262C59"/>
    <w:rsid w:val="55263265"/>
    <w:rsid w:val="553042A2"/>
    <w:rsid w:val="553134B9"/>
    <w:rsid w:val="55353920"/>
    <w:rsid w:val="553B1CF5"/>
    <w:rsid w:val="553E0350"/>
    <w:rsid w:val="55471121"/>
    <w:rsid w:val="55493663"/>
    <w:rsid w:val="55521CCB"/>
    <w:rsid w:val="55530D6F"/>
    <w:rsid w:val="55540E7B"/>
    <w:rsid w:val="55552428"/>
    <w:rsid w:val="5558286E"/>
    <w:rsid w:val="55597EFF"/>
    <w:rsid w:val="555E08DF"/>
    <w:rsid w:val="555F3BCA"/>
    <w:rsid w:val="55626FC2"/>
    <w:rsid w:val="55670CDC"/>
    <w:rsid w:val="556D3D8B"/>
    <w:rsid w:val="55786E56"/>
    <w:rsid w:val="557C6B7E"/>
    <w:rsid w:val="55803F7C"/>
    <w:rsid w:val="558434F4"/>
    <w:rsid w:val="5587719D"/>
    <w:rsid w:val="558E1C37"/>
    <w:rsid w:val="559264EF"/>
    <w:rsid w:val="5595422A"/>
    <w:rsid w:val="559661D7"/>
    <w:rsid w:val="55AE002D"/>
    <w:rsid w:val="55B66D2E"/>
    <w:rsid w:val="55BB1464"/>
    <w:rsid w:val="55BE303B"/>
    <w:rsid w:val="55E71247"/>
    <w:rsid w:val="55F13216"/>
    <w:rsid w:val="55F53DC2"/>
    <w:rsid w:val="55FB38C2"/>
    <w:rsid w:val="55FB4CD1"/>
    <w:rsid w:val="56053A66"/>
    <w:rsid w:val="560B7B72"/>
    <w:rsid w:val="560C7E69"/>
    <w:rsid w:val="56154A4C"/>
    <w:rsid w:val="561F640A"/>
    <w:rsid w:val="56215F3C"/>
    <w:rsid w:val="562E3095"/>
    <w:rsid w:val="563C5D74"/>
    <w:rsid w:val="563D4E7F"/>
    <w:rsid w:val="56416CC2"/>
    <w:rsid w:val="564E1154"/>
    <w:rsid w:val="565209A5"/>
    <w:rsid w:val="565F174D"/>
    <w:rsid w:val="56614984"/>
    <w:rsid w:val="56624253"/>
    <w:rsid w:val="56632FA6"/>
    <w:rsid w:val="56661C41"/>
    <w:rsid w:val="566A381A"/>
    <w:rsid w:val="56744CC5"/>
    <w:rsid w:val="567763EB"/>
    <w:rsid w:val="567B199A"/>
    <w:rsid w:val="568647E1"/>
    <w:rsid w:val="56930E45"/>
    <w:rsid w:val="56946A26"/>
    <w:rsid w:val="56953D4F"/>
    <w:rsid w:val="56975CE1"/>
    <w:rsid w:val="569D5512"/>
    <w:rsid w:val="56A01322"/>
    <w:rsid w:val="56A45DC2"/>
    <w:rsid w:val="56BD1AE8"/>
    <w:rsid w:val="56BF5743"/>
    <w:rsid w:val="56C27DE2"/>
    <w:rsid w:val="56C349BD"/>
    <w:rsid w:val="56C40E49"/>
    <w:rsid w:val="56C4498B"/>
    <w:rsid w:val="56CC6FA0"/>
    <w:rsid w:val="56CE7DC5"/>
    <w:rsid w:val="56CF6FFE"/>
    <w:rsid w:val="56D2219C"/>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4689E"/>
    <w:rsid w:val="573A0512"/>
    <w:rsid w:val="573B3BCC"/>
    <w:rsid w:val="57435BFB"/>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337A7"/>
    <w:rsid w:val="579552C5"/>
    <w:rsid w:val="57994242"/>
    <w:rsid w:val="579A3826"/>
    <w:rsid w:val="57A134A1"/>
    <w:rsid w:val="57A246E6"/>
    <w:rsid w:val="57A401C4"/>
    <w:rsid w:val="57A90A91"/>
    <w:rsid w:val="57A913FE"/>
    <w:rsid w:val="57AD1A5F"/>
    <w:rsid w:val="57AF7199"/>
    <w:rsid w:val="57B255F6"/>
    <w:rsid w:val="57B27F4E"/>
    <w:rsid w:val="57B61ADB"/>
    <w:rsid w:val="57BB11B9"/>
    <w:rsid w:val="57C0151D"/>
    <w:rsid w:val="57C14748"/>
    <w:rsid w:val="57C30805"/>
    <w:rsid w:val="57CB091F"/>
    <w:rsid w:val="57D6465B"/>
    <w:rsid w:val="57DC28D9"/>
    <w:rsid w:val="57E43A4F"/>
    <w:rsid w:val="57F008BC"/>
    <w:rsid w:val="57F155CB"/>
    <w:rsid w:val="57F279DE"/>
    <w:rsid w:val="57F56E7A"/>
    <w:rsid w:val="57F91E8B"/>
    <w:rsid w:val="57FC577E"/>
    <w:rsid w:val="57FD476D"/>
    <w:rsid w:val="58024C7F"/>
    <w:rsid w:val="58064DC8"/>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368E"/>
    <w:rsid w:val="585D4900"/>
    <w:rsid w:val="5862122B"/>
    <w:rsid w:val="58646E97"/>
    <w:rsid w:val="586646D0"/>
    <w:rsid w:val="5867516A"/>
    <w:rsid w:val="586E7A63"/>
    <w:rsid w:val="58711673"/>
    <w:rsid w:val="58802421"/>
    <w:rsid w:val="588D1666"/>
    <w:rsid w:val="588F71C9"/>
    <w:rsid w:val="58914185"/>
    <w:rsid w:val="58920F1B"/>
    <w:rsid w:val="58AB69E5"/>
    <w:rsid w:val="58B167FD"/>
    <w:rsid w:val="58B513F7"/>
    <w:rsid w:val="58C0497A"/>
    <w:rsid w:val="58C564A5"/>
    <w:rsid w:val="58CC003F"/>
    <w:rsid w:val="58CD7B88"/>
    <w:rsid w:val="58CD7B89"/>
    <w:rsid w:val="58D10DDD"/>
    <w:rsid w:val="58D12092"/>
    <w:rsid w:val="58D52C82"/>
    <w:rsid w:val="58D540F7"/>
    <w:rsid w:val="58D5513C"/>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61373"/>
    <w:rsid w:val="59561D93"/>
    <w:rsid w:val="595F11CB"/>
    <w:rsid w:val="59634BE6"/>
    <w:rsid w:val="5965617A"/>
    <w:rsid w:val="596654C9"/>
    <w:rsid w:val="5977122A"/>
    <w:rsid w:val="597A7604"/>
    <w:rsid w:val="59822C29"/>
    <w:rsid w:val="59827068"/>
    <w:rsid w:val="59873E19"/>
    <w:rsid w:val="598A4267"/>
    <w:rsid w:val="599852BD"/>
    <w:rsid w:val="599C5353"/>
    <w:rsid w:val="59A379DA"/>
    <w:rsid w:val="59A727AE"/>
    <w:rsid w:val="59AA1BC7"/>
    <w:rsid w:val="59C10669"/>
    <w:rsid w:val="59C86714"/>
    <w:rsid w:val="59CF05F4"/>
    <w:rsid w:val="59D40772"/>
    <w:rsid w:val="59D713B0"/>
    <w:rsid w:val="59DA51E0"/>
    <w:rsid w:val="59DD71E5"/>
    <w:rsid w:val="59E43422"/>
    <w:rsid w:val="59E632A9"/>
    <w:rsid w:val="59E9788B"/>
    <w:rsid w:val="59F74824"/>
    <w:rsid w:val="59F811A8"/>
    <w:rsid w:val="59FB230B"/>
    <w:rsid w:val="59FE3C34"/>
    <w:rsid w:val="5A02157D"/>
    <w:rsid w:val="5A0A31D0"/>
    <w:rsid w:val="5A1034D6"/>
    <w:rsid w:val="5A157502"/>
    <w:rsid w:val="5A161B9A"/>
    <w:rsid w:val="5A166E3C"/>
    <w:rsid w:val="5A196BE3"/>
    <w:rsid w:val="5A1B2E6A"/>
    <w:rsid w:val="5A2010DF"/>
    <w:rsid w:val="5A2104F9"/>
    <w:rsid w:val="5A225FBF"/>
    <w:rsid w:val="5A246117"/>
    <w:rsid w:val="5A2C1DDE"/>
    <w:rsid w:val="5A2E4DE1"/>
    <w:rsid w:val="5A3358FF"/>
    <w:rsid w:val="5A357B48"/>
    <w:rsid w:val="5A367139"/>
    <w:rsid w:val="5A377721"/>
    <w:rsid w:val="5A393DFA"/>
    <w:rsid w:val="5A396F82"/>
    <w:rsid w:val="5A3A60A2"/>
    <w:rsid w:val="5A3B0495"/>
    <w:rsid w:val="5A3B2271"/>
    <w:rsid w:val="5A3D7BF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45DD1"/>
    <w:rsid w:val="5AA6010C"/>
    <w:rsid w:val="5AA86E5A"/>
    <w:rsid w:val="5AAA67C9"/>
    <w:rsid w:val="5AAE12B9"/>
    <w:rsid w:val="5AB72DEF"/>
    <w:rsid w:val="5AC40155"/>
    <w:rsid w:val="5AC51C42"/>
    <w:rsid w:val="5ACA67BF"/>
    <w:rsid w:val="5ADB4308"/>
    <w:rsid w:val="5AE02F24"/>
    <w:rsid w:val="5AE84AF6"/>
    <w:rsid w:val="5AE868B2"/>
    <w:rsid w:val="5AEC44BD"/>
    <w:rsid w:val="5AEE30DA"/>
    <w:rsid w:val="5AF514F0"/>
    <w:rsid w:val="5B025824"/>
    <w:rsid w:val="5B08472A"/>
    <w:rsid w:val="5B0937AB"/>
    <w:rsid w:val="5B0A2C87"/>
    <w:rsid w:val="5B127B67"/>
    <w:rsid w:val="5B183C22"/>
    <w:rsid w:val="5B1D3757"/>
    <w:rsid w:val="5B217D0A"/>
    <w:rsid w:val="5B276FBD"/>
    <w:rsid w:val="5B2F6C65"/>
    <w:rsid w:val="5B3B1A3B"/>
    <w:rsid w:val="5B3F5E85"/>
    <w:rsid w:val="5B461140"/>
    <w:rsid w:val="5B544C09"/>
    <w:rsid w:val="5B546635"/>
    <w:rsid w:val="5B591FEE"/>
    <w:rsid w:val="5B5D6360"/>
    <w:rsid w:val="5B650C24"/>
    <w:rsid w:val="5B6C1370"/>
    <w:rsid w:val="5B700C48"/>
    <w:rsid w:val="5B762836"/>
    <w:rsid w:val="5B861DFE"/>
    <w:rsid w:val="5B8B4481"/>
    <w:rsid w:val="5B8F3139"/>
    <w:rsid w:val="5B8F6725"/>
    <w:rsid w:val="5B961544"/>
    <w:rsid w:val="5B9C0BB9"/>
    <w:rsid w:val="5B9D2958"/>
    <w:rsid w:val="5BAA1566"/>
    <w:rsid w:val="5BAC5FEF"/>
    <w:rsid w:val="5BAC660D"/>
    <w:rsid w:val="5BB90A97"/>
    <w:rsid w:val="5BC80573"/>
    <w:rsid w:val="5BC973B5"/>
    <w:rsid w:val="5BCC4604"/>
    <w:rsid w:val="5BD17E46"/>
    <w:rsid w:val="5BDE3DC3"/>
    <w:rsid w:val="5BE2378B"/>
    <w:rsid w:val="5BEB318B"/>
    <w:rsid w:val="5BEB5A0B"/>
    <w:rsid w:val="5BEC2285"/>
    <w:rsid w:val="5BFA1A95"/>
    <w:rsid w:val="5BFB4AA1"/>
    <w:rsid w:val="5BFD39FA"/>
    <w:rsid w:val="5C0347DA"/>
    <w:rsid w:val="5C071023"/>
    <w:rsid w:val="5C144649"/>
    <w:rsid w:val="5C211940"/>
    <w:rsid w:val="5C23504C"/>
    <w:rsid w:val="5C2C0B98"/>
    <w:rsid w:val="5C352582"/>
    <w:rsid w:val="5C360489"/>
    <w:rsid w:val="5C3767CF"/>
    <w:rsid w:val="5C390577"/>
    <w:rsid w:val="5C45707D"/>
    <w:rsid w:val="5C471B1A"/>
    <w:rsid w:val="5C4E5CA1"/>
    <w:rsid w:val="5C52761C"/>
    <w:rsid w:val="5C5603E6"/>
    <w:rsid w:val="5C5773AF"/>
    <w:rsid w:val="5C652DBF"/>
    <w:rsid w:val="5C6D7E3F"/>
    <w:rsid w:val="5C6E6CFA"/>
    <w:rsid w:val="5C7250FC"/>
    <w:rsid w:val="5C766449"/>
    <w:rsid w:val="5C880935"/>
    <w:rsid w:val="5C8910A1"/>
    <w:rsid w:val="5C8E4CB9"/>
    <w:rsid w:val="5C915347"/>
    <w:rsid w:val="5CB70F5B"/>
    <w:rsid w:val="5CBE6A7F"/>
    <w:rsid w:val="5CC03AD8"/>
    <w:rsid w:val="5CC13B5F"/>
    <w:rsid w:val="5CC350B6"/>
    <w:rsid w:val="5CC40640"/>
    <w:rsid w:val="5CC5501F"/>
    <w:rsid w:val="5CC951C8"/>
    <w:rsid w:val="5CCD5AF3"/>
    <w:rsid w:val="5CD87406"/>
    <w:rsid w:val="5CDB61B3"/>
    <w:rsid w:val="5CE12FA2"/>
    <w:rsid w:val="5CE37A0C"/>
    <w:rsid w:val="5CE47EB3"/>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6B07"/>
    <w:rsid w:val="5D0C0E20"/>
    <w:rsid w:val="5D0D0434"/>
    <w:rsid w:val="5D115318"/>
    <w:rsid w:val="5D171915"/>
    <w:rsid w:val="5D1A0064"/>
    <w:rsid w:val="5D1E0483"/>
    <w:rsid w:val="5D2E4C8F"/>
    <w:rsid w:val="5D2F0156"/>
    <w:rsid w:val="5D300D00"/>
    <w:rsid w:val="5D327B7C"/>
    <w:rsid w:val="5D3D5181"/>
    <w:rsid w:val="5D401CDD"/>
    <w:rsid w:val="5D4147FD"/>
    <w:rsid w:val="5D4464FB"/>
    <w:rsid w:val="5D4F674E"/>
    <w:rsid w:val="5D5D4274"/>
    <w:rsid w:val="5D5F3B39"/>
    <w:rsid w:val="5D671D44"/>
    <w:rsid w:val="5D675DD5"/>
    <w:rsid w:val="5D693B3B"/>
    <w:rsid w:val="5D6A0CF0"/>
    <w:rsid w:val="5D7013D1"/>
    <w:rsid w:val="5D717DBF"/>
    <w:rsid w:val="5D763D0D"/>
    <w:rsid w:val="5D7F4B1E"/>
    <w:rsid w:val="5D810355"/>
    <w:rsid w:val="5D843249"/>
    <w:rsid w:val="5D895296"/>
    <w:rsid w:val="5D8E4CC4"/>
    <w:rsid w:val="5D96244D"/>
    <w:rsid w:val="5D9E50AB"/>
    <w:rsid w:val="5DA213F9"/>
    <w:rsid w:val="5DA42995"/>
    <w:rsid w:val="5DAF50E1"/>
    <w:rsid w:val="5DB025E9"/>
    <w:rsid w:val="5DB3412C"/>
    <w:rsid w:val="5DB426A0"/>
    <w:rsid w:val="5DB76601"/>
    <w:rsid w:val="5DB77D64"/>
    <w:rsid w:val="5DC22768"/>
    <w:rsid w:val="5DC3433E"/>
    <w:rsid w:val="5DC8549E"/>
    <w:rsid w:val="5DCE7B78"/>
    <w:rsid w:val="5DCF3D17"/>
    <w:rsid w:val="5DD3278D"/>
    <w:rsid w:val="5DE2734E"/>
    <w:rsid w:val="5DE444C7"/>
    <w:rsid w:val="5DE449D7"/>
    <w:rsid w:val="5DE44E7A"/>
    <w:rsid w:val="5DF2566B"/>
    <w:rsid w:val="5DF26221"/>
    <w:rsid w:val="5DF27979"/>
    <w:rsid w:val="5DF966B0"/>
    <w:rsid w:val="5DFF0CC5"/>
    <w:rsid w:val="5E017F3D"/>
    <w:rsid w:val="5E0E517D"/>
    <w:rsid w:val="5E124791"/>
    <w:rsid w:val="5E167528"/>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A37AA"/>
    <w:rsid w:val="5E5C65F2"/>
    <w:rsid w:val="5E67568D"/>
    <w:rsid w:val="5E696614"/>
    <w:rsid w:val="5E697941"/>
    <w:rsid w:val="5E7877CB"/>
    <w:rsid w:val="5E794C04"/>
    <w:rsid w:val="5E795C99"/>
    <w:rsid w:val="5E7C2DBF"/>
    <w:rsid w:val="5E802BA9"/>
    <w:rsid w:val="5E891B83"/>
    <w:rsid w:val="5E924596"/>
    <w:rsid w:val="5E947B41"/>
    <w:rsid w:val="5E9C24EB"/>
    <w:rsid w:val="5EAC01E3"/>
    <w:rsid w:val="5EB400C3"/>
    <w:rsid w:val="5EB82055"/>
    <w:rsid w:val="5EC309DA"/>
    <w:rsid w:val="5ECB3F99"/>
    <w:rsid w:val="5ECD3498"/>
    <w:rsid w:val="5ED470B9"/>
    <w:rsid w:val="5ED70F57"/>
    <w:rsid w:val="5EDD6588"/>
    <w:rsid w:val="5EE75CEA"/>
    <w:rsid w:val="5EEB22CF"/>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3AEA"/>
    <w:rsid w:val="5F615247"/>
    <w:rsid w:val="5F6A5A0A"/>
    <w:rsid w:val="5F73758B"/>
    <w:rsid w:val="5F796C02"/>
    <w:rsid w:val="5F7A3813"/>
    <w:rsid w:val="5F7B787C"/>
    <w:rsid w:val="5F7C348D"/>
    <w:rsid w:val="5F7D2DFF"/>
    <w:rsid w:val="5F8E07ED"/>
    <w:rsid w:val="5F926242"/>
    <w:rsid w:val="5F9D5EA1"/>
    <w:rsid w:val="5F9D7BCF"/>
    <w:rsid w:val="5FA03264"/>
    <w:rsid w:val="5FA67313"/>
    <w:rsid w:val="5FAF6A8E"/>
    <w:rsid w:val="5FB41C12"/>
    <w:rsid w:val="5FB66F77"/>
    <w:rsid w:val="5FBD0EC7"/>
    <w:rsid w:val="5FC23A38"/>
    <w:rsid w:val="5FC458D2"/>
    <w:rsid w:val="5FCE6F1E"/>
    <w:rsid w:val="5FD91C36"/>
    <w:rsid w:val="5FE80E96"/>
    <w:rsid w:val="5FE96661"/>
    <w:rsid w:val="5FF44B73"/>
    <w:rsid w:val="5FF70698"/>
    <w:rsid w:val="5FFC2AE4"/>
    <w:rsid w:val="60052229"/>
    <w:rsid w:val="60070FA0"/>
    <w:rsid w:val="6007379D"/>
    <w:rsid w:val="60085C69"/>
    <w:rsid w:val="600B1124"/>
    <w:rsid w:val="601079C8"/>
    <w:rsid w:val="601441AB"/>
    <w:rsid w:val="6016135E"/>
    <w:rsid w:val="60255BF0"/>
    <w:rsid w:val="602961E3"/>
    <w:rsid w:val="602B5AF6"/>
    <w:rsid w:val="602F51EE"/>
    <w:rsid w:val="6039674B"/>
    <w:rsid w:val="60396D53"/>
    <w:rsid w:val="60460B23"/>
    <w:rsid w:val="60475A2A"/>
    <w:rsid w:val="6051492B"/>
    <w:rsid w:val="60541C8D"/>
    <w:rsid w:val="605845B7"/>
    <w:rsid w:val="605B3E1A"/>
    <w:rsid w:val="605B3F87"/>
    <w:rsid w:val="60612E69"/>
    <w:rsid w:val="6064351F"/>
    <w:rsid w:val="606D2ECB"/>
    <w:rsid w:val="60732D14"/>
    <w:rsid w:val="607524D0"/>
    <w:rsid w:val="60790820"/>
    <w:rsid w:val="607D133A"/>
    <w:rsid w:val="60873830"/>
    <w:rsid w:val="608C48FA"/>
    <w:rsid w:val="608C7C9B"/>
    <w:rsid w:val="608D00EE"/>
    <w:rsid w:val="60934A43"/>
    <w:rsid w:val="609457A2"/>
    <w:rsid w:val="609542E0"/>
    <w:rsid w:val="609B1EA1"/>
    <w:rsid w:val="60A759FE"/>
    <w:rsid w:val="60B17E63"/>
    <w:rsid w:val="60B40EFB"/>
    <w:rsid w:val="60BA3688"/>
    <w:rsid w:val="60BE3A10"/>
    <w:rsid w:val="60BE7F1C"/>
    <w:rsid w:val="60C00D53"/>
    <w:rsid w:val="60C41F6D"/>
    <w:rsid w:val="60C66A6E"/>
    <w:rsid w:val="60D44DA5"/>
    <w:rsid w:val="60DC2AE2"/>
    <w:rsid w:val="60DE494B"/>
    <w:rsid w:val="60E0373A"/>
    <w:rsid w:val="60E264E0"/>
    <w:rsid w:val="60E33A55"/>
    <w:rsid w:val="60EF18DB"/>
    <w:rsid w:val="60F87843"/>
    <w:rsid w:val="61043A4B"/>
    <w:rsid w:val="610C0BE1"/>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62AB"/>
    <w:rsid w:val="616057FE"/>
    <w:rsid w:val="61622160"/>
    <w:rsid w:val="61636137"/>
    <w:rsid w:val="61672D96"/>
    <w:rsid w:val="61691F33"/>
    <w:rsid w:val="616B249B"/>
    <w:rsid w:val="617666B2"/>
    <w:rsid w:val="617830BA"/>
    <w:rsid w:val="617F7B7F"/>
    <w:rsid w:val="618B6A17"/>
    <w:rsid w:val="618D7F78"/>
    <w:rsid w:val="61937195"/>
    <w:rsid w:val="61944E4E"/>
    <w:rsid w:val="61972B79"/>
    <w:rsid w:val="619872D1"/>
    <w:rsid w:val="619F7215"/>
    <w:rsid w:val="61A35D23"/>
    <w:rsid w:val="61A95324"/>
    <w:rsid w:val="61AA2B1C"/>
    <w:rsid w:val="61B02285"/>
    <w:rsid w:val="61BD0FD1"/>
    <w:rsid w:val="61C63667"/>
    <w:rsid w:val="61D033C7"/>
    <w:rsid w:val="61D2628F"/>
    <w:rsid w:val="61D72ED5"/>
    <w:rsid w:val="61D978CA"/>
    <w:rsid w:val="61E07E1D"/>
    <w:rsid w:val="61F64453"/>
    <w:rsid w:val="61F66272"/>
    <w:rsid w:val="61F938CE"/>
    <w:rsid w:val="61FA3894"/>
    <w:rsid w:val="6202274E"/>
    <w:rsid w:val="62054959"/>
    <w:rsid w:val="62062F61"/>
    <w:rsid w:val="620D2C8B"/>
    <w:rsid w:val="6211505B"/>
    <w:rsid w:val="6218449B"/>
    <w:rsid w:val="622310F6"/>
    <w:rsid w:val="622518CF"/>
    <w:rsid w:val="62270A5A"/>
    <w:rsid w:val="62271582"/>
    <w:rsid w:val="62284FB4"/>
    <w:rsid w:val="62310AC2"/>
    <w:rsid w:val="62316EA0"/>
    <w:rsid w:val="6233006F"/>
    <w:rsid w:val="623A3792"/>
    <w:rsid w:val="62410275"/>
    <w:rsid w:val="62444582"/>
    <w:rsid w:val="624A6292"/>
    <w:rsid w:val="624F22B9"/>
    <w:rsid w:val="6250003B"/>
    <w:rsid w:val="62555FBC"/>
    <w:rsid w:val="62582A8B"/>
    <w:rsid w:val="625C025D"/>
    <w:rsid w:val="625C1376"/>
    <w:rsid w:val="625F2D45"/>
    <w:rsid w:val="626041CE"/>
    <w:rsid w:val="62604577"/>
    <w:rsid w:val="62607F0F"/>
    <w:rsid w:val="62646C56"/>
    <w:rsid w:val="62675C23"/>
    <w:rsid w:val="626913D2"/>
    <w:rsid w:val="626F3399"/>
    <w:rsid w:val="62710CC6"/>
    <w:rsid w:val="62786ED2"/>
    <w:rsid w:val="628710AB"/>
    <w:rsid w:val="6289557C"/>
    <w:rsid w:val="628A2538"/>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C73204"/>
    <w:rsid w:val="62CB3D98"/>
    <w:rsid w:val="62CB4B87"/>
    <w:rsid w:val="62D25D82"/>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86BB9"/>
    <w:rsid w:val="633B1E29"/>
    <w:rsid w:val="634A5D38"/>
    <w:rsid w:val="634C65DC"/>
    <w:rsid w:val="635B00C9"/>
    <w:rsid w:val="636668A2"/>
    <w:rsid w:val="636849C9"/>
    <w:rsid w:val="637706EF"/>
    <w:rsid w:val="637A59E1"/>
    <w:rsid w:val="637F0E1A"/>
    <w:rsid w:val="63815196"/>
    <w:rsid w:val="6391041C"/>
    <w:rsid w:val="63987080"/>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391AAD"/>
    <w:rsid w:val="643E383F"/>
    <w:rsid w:val="644426F4"/>
    <w:rsid w:val="644A2959"/>
    <w:rsid w:val="644D7682"/>
    <w:rsid w:val="644E6CB6"/>
    <w:rsid w:val="64535672"/>
    <w:rsid w:val="64574EB1"/>
    <w:rsid w:val="646B3F3E"/>
    <w:rsid w:val="646D1CD3"/>
    <w:rsid w:val="6476698F"/>
    <w:rsid w:val="647D6981"/>
    <w:rsid w:val="647E5324"/>
    <w:rsid w:val="64827BE0"/>
    <w:rsid w:val="649253FB"/>
    <w:rsid w:val="64935771"/>
    <w:rsid w:val="64991BDE"/>
    <w:rsid w:val="649C4479"/>
    <w:rsid w:val="64A31E2F"/>
    <w:rsid w:val="64A32EFE"/>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656FB"/>
    <w:rsid w:val="64F65983"/>
    <w:rsid w:val="64F92204"/>
    <w:rsid w:val="65004915"/>
    <w:rsid w:val="650771CA"/>
    <w:rsid w:val="650F000D"/>
    <w:rsid w:val="6512513F"/>
    <w:rsid w:val="65154158"/>
    <w:rsid w:val="65172DBA"/>
    <w:rsid w:val="651F03BA"/>
    <w:rsid w:val="6525430A"/>
    <w:rsid w:val="65284F3E"/>
    <w:rsid w:val="652924E8"/>
    <w:rsid w:val="652B35FB"/>
    <w:rsid w:val="6531370D"/>
    <w:rsid w:val="653208EA"/>
    <w:rsid w:val="653331D8"/>
    <w:rsid w:val="65381A6A"/>
    <w:rsid w:val="653D4722"/>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77679C"/>
    <w:rsid w:val="65807AD8"/>
    <w:rsid w:val="65822FE0"/>
    <w:rsid w:val="65886C99"/>
    <w:rsid w:val="658B3278"/>
    <w:rsid w:val="659B3091"/>
    <w:rsid w:val="65A16EE2"/>
    <w:rsid w:val="65AA2639"/>
    <w:rsid w:val="65AE1917"/>
    <w:rsid w:val="65B05F69"/>
    <w:rsid w:val="65B33093"/>
    <w:rsid w:val="65B455FE"/>
    <w:rsid w:val="65BC78B0"/>
    <w:rsid w:val="65C560F4"/>
    <w:rsid w:val="65CA2BB7"/>
    <w:rsid w:val="65D83D90"/>
    <w:rsid w:val="65DC17B9"/>
    <w:rsid w:val="65E21C0A"/>
    <w:rsid w:val="65E24FDC"/>
    <w:rsid w:val="65E900F4"/>
    <w:rsid w:val="65EA53B7"/>
    <w:rsid w:val="65EA5432"/>
    <w:rsid w:val="65EF5FEE"/>
    <w:rsid w:val="65F078C4"/>
    <w:rsid w:val="65FB591C"/>
    <w:rsid w:val="65FF726F"/>
    <w:rsid w:val="6601483B"/>
    <w:rsid w:val="661000CD"/>
    <w:rsid w:val="661053D5"/>
    <w:rsid w:val="66115FAF"/>
    <w:rsid w:val="661512C2"/>
    <w:rsid w:val="66181F64"/>
    <w:rsid w:val="662251C3"/>
    <w:rsid w:val="6623171D"/>
    <w:rsid w:val="6626588D"/>
    <w:rsid w:val="6629217B"/>
    <w:rsid w:val="662F5A92"/>
    <w:rsid w:val="663239F8"/>
    <w:rsid w:val="6635553E"/>
    <w:rsid w:val="663E5828"/>
    <w:rsid w:val="66406116"/>
    <w:rsid w:val="66491DB7"/>
    <w:rsid w:val="664F4FF4"/>
    <w:rsid w:val="66545A96"/>
    <w:rsid w:val="66557E51"/>
    <w:rsid w:val="66561F3C"/>
    <w:rsid w:val="665A6B7C"/>
    <w:rsid w:val="66637DF7"/>
    <w:rsid w:val="66665226"/>
    <w:rsid w:val="667570C0"/>
    <w:rsid w:val="667A32AF"/>
    <w:rsid w:val="66813ACD"/>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53AE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E396A"/>
    <w:rsid w:val="671B08CF"/>
    <w:rsid w:val="67206181"/>
    <w:rsid w:val="67243A92"/>
    <w:rsid w:val="67333E25"/>
    <w:rsid w:val="6737473D"/>
    <w:rsid w:val="673F566D"/>
    <w:rsid w:val="67477A3D"/>
    <w:rsid w:val="674836B0"/>
    <w:rsid w:val="674A7242"/>
    <w:rsid w:val="6750530D"/>
    <w:rsid w:val="67534BA2"/>
    <w:rsid w:val="67627CB0"/>
    <w:rsid w:val="67646E19"/>
    <w:rsid w:val="67667554"/>
    <w:rsid w:val="6768236C"/>
    <w:rsid w:val="677118EF"/>
    <w:rsid w:val="6774106C"/>
    <w:rsid w:val="67753DAD"/>
    <w:rsid w:val="67756A70"/>
    <w:rsid w:val="67775291"/>
    <w:rsid w:val="67787FBF"/>
    <w:rsid w:val="677971DA"/>
    <w:rsid w:val="677D64DB"/>
    <w:rsid w:val="677E2F2F"/>
    <w:rsid w:val="6781373C"/>
    <w:rsid w:val="678502AE"/>
    <w:rsid w:val="67883DC2"/>
    <w:rsid w:val="678D182B"/>
    <w:rsid w:val="678D2688"/>
    <w:rsid w:val="67916972"/>
    <w:rsid w:val="67974735"/>
    <w:rsid w:val="67A070BD"/>
    <w:rsid w:val="67A423F4"/>
    <w:rsid w:val="67A66C35"/>
    <w:rsid w:val="67A84969"/>
    <w:rsid w:val="67AE2CDF"/>
    <w:rsid w:val="67B077C4"/>
    <w:rsid w:val="67B606A1"/>
    <w:rsid w:val="67BA0F78"/>
    <w:rsid w:val="67C37F4E"/>
    <w:rsid w:val="67C96D27"/>
    <w:rsid w:val="67CA03CE"/>
    <w:rsid w:val="67CB73B6"/>
    <w:rsid w:val="67D93324"/>
    <w:rsid w:val="67DC3979"/>
    <w:rsid w:val="67E30381"/>
    <w:rsid w:val="67E52885"/>
    <w:rsid w:val="67E81682"/>
    <w:rsid w:val="67E86538"/>
    <w:rsid w:val="67E96C00"/>
    <w:rsid w:val="67EA07C1"/>
    <w:rsid w:val="67EE61ED"/>
    <w:rsid w:val="67F43FF6"/>
    <w:rsid w:val="67FC5BF8"/>
    <w:rsid w:val="6807753D"/>
    <w:rsid w:val="6813706E"/>
    <w:rsid w:val="68223ABA"/>
    <w:rsid w:val="68252F30"/>
    <w:rsid w:val="68286989"/>
    <w:rsid w:val="682B4F65"/>
    <w:rsid w:val="68341E4D"/>
    <w:rsid w:val="6835107C"/>
    <w:rsid w:val="683A75EF"/>
    <w:rsid w:val="683B7588"/>
    <w:rsid w:val="68434890"/>
    <w:rsid w:val="68482726"/>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9632D"/>
    <w:rsid w:val="689D30E4"/>
    <w:rsid w:val="689F3DA8"/>
    <w:rsid w:val="68A176D0"/>
    <w:rsid w:val="68AF2BBF"/>
    <w:rsid w:val="68B757FF"/>
    <w:rsid w:val="68C23ED8"/>
    <w:rsid w:val="68CE2F53"/>
    <w:rsid w:val="68CF436D"/>
    <w:rsid w:val="68D56BA6"/>
    <w:rsid w:val="68DE2553"/>
    <w:rsid w:val="68E5744A"/>
    <w:rsid w:val="68E90916"/>
    <w:rsid w:val="68EE43B5"/>
    <w:rsid w:val="68F4009D"/>
    <w:rsid w:val="68F43917"/>
    <w:rsid w:val="68F502B2"/>
    <w:rsid w:val="69032EE2"/>
    <w:rsid w:val="690F2791"/>
    <w:rsid w:val="69147FD7"/>
    <w:rsid w:val="691C241A"/>
    <w:rsid w:val="6923324E"/>
    <w:rsid w:val="69285A92"/>
    <w:rsid w:val="692D45F6"/>
    <w:rsid w:val="69322422"/>
    <w:rsid w:val="69335D49"/>
    <w:rsid w:val="69536376"/>
    <w:rsid w:val="69552E6A"/>
    <w:rsid w:val="695D425A"/>
    <w:rsid w:val="69611823"/>
    <w:rsid w:val="69675884"/>
    <w:rsid w:val="696C3033"/>
    <w:rsid w:val="696C401F"/>
    <w:rsid w:val="696E48DC"/>
    <w:rsid w:val="697412AF"/>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64A5B"/>
    <w:rsid w:val="69DD7F9F"/>
    <w:rsid w:val="69E31EF0"/>
    <w:rsid w:val="69E90668"/>
    <w:rsid w:val="69ED5274"/>
    <w:rsid w:val="69F47F8E"/>
    <w:rsid w:val="69F55347"/>
    <w:rsid w:val="69F56D77"/>
    <w:rsid w:val="69FB1DED"/>
    <w:rsid w:val="69FD3E80"/>
    <w:rsid w:val="6A003B69"/>
    <w:rsid w:val="6A041C66"/>
    <w:rsid w:val="6A085ABB"/>
    <w:rsid w:val="6A0928E3"/>
    <w:rsid w:val="6A092A0D"/>
    <w:rsid w:val="6A1E0E64"/>
    <w:rsid w:val="6A2927D5"/>
    <w:rsid w:val="6A3205AE"/>
    <w:rsid w:val="6A333626"/>
    <w:rsid w:val="6A3B10DA"/>
    <w:rsid w:val="6A3C3F5C"/>
    <w:rsid w:val="6A407024"/>
    <w:rsid w:val="6A483FC6"/>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A5A9F"/>
    <w:rsid w:val="6ADB3E4A"/>
    <w:rsid w:val="6AE24A03"/>
    <w:rsid w:val="6AE74CC5"/>
    <w:rsid w:val="6AE90007"/>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E5F25"/>
    <w:rsid w:val="6B647694"/>
    <w:rsid w:val="6B666A66"/>
    <w:rsid w:val="6B687879"/>
    <w:rsid w:val="6B6C74E1"/>
    <w:rsid w:val="6B713FC1"/>
    <w:rsid w:val="6B7357C3"/>
    <w:rsid w:val="6B832B21"/>
    <w:rsid w:val="6B867E5C"/>
    <w:rsid w:val="6B88607A"/>
    <w:rsid w:val="6B9150FF"/>
    <w:rsid w:val="6B946BF3"/>
    <w:rsid w:val="6BA2350F"/>
    <w:rsid w:val="6BA31178"/>
    <w:rsid w:val="6BB2108D"/>
    <w:rsid w:val="6BD4209E"/>
    <w:rsid w:val="6BD82F70"/>
    <w:rsid w:val="6BDB61D4"/>
    <w:rsid w:val="6BE223DA"/>
    <w:rsid w:val="6BE85FD3"/>
    <w:rsid w:val="6BF04529"/>
    <w:rsid w:val="6BF36866"/>
    <w:rsid w:val="6BF40ECE"/>
    <w:rsid w:val="6BFB7A6D"/>
    <w:rsid w:val="6C005268"/>
    <w:rsid w:val="6C051A87"/>
    <w:rsid w:val="6C0738DF"/>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E80C75"/>
    <w:rsid w:val="6CF0094D"/>
    <w:rsid w:val="6D052816"/>
    <w:rsid w:val="6D070F6E"/>
    <w:rsid w:val="6D116339"/>
    <w:rsid w:val="6D1C0D1C"/>
    <w:rsid w:val="6D23170F"/>
    <w:rsid w:val="6D253611"/>
    <w:rsid w:val="6D330BE7"/>
    <w:rsid w:val="6D3326A9"/>
    <w:rsid w:val="6D3A5839"/>
    <w:rsid w:val="6D3B5319"/>
    <w:rsid w:val="6D3D2693"/>
    <w:rsid w:val="6D40296E"/>
    <w:rsid w:val="6D435C77"/>
    <w:rsid w:val="6D460E2E"/>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91032E"/>
    <w:rsid w:val="6D9A7080"/>
    <w:rsid w:val="6DA434FE"/>
    <w:rsid w:val="6DA86646"/>
    <w:rsid w:val="6DAE1C38"/>
    <w:rsid w:val="6DB2070A"/>
    <w:rsid w:val="6DB7599D"/>
    <w:rsid w:val="6DC12404"/>
    <w:rsid w:val="6DC24126"/>
    <w:rsid w:val="6DC3540E"/>
    <w:rsid w:val="6DC96A9D"/>
    <w:rsid w:val="6DCD448E"/>
    <w:rsid w:val="6DD53FF8"/>
    <w:rsid w:val="6DD829F0"/>
    <w:rsid w:val="6DDF7647"/>
    <w:rsid w:val="6DE36825"/>
    <w:rsid w:val="6DE53394"/>
    <w:rsid w:val="6DE70C3E"/>
    <w:rsid w:val="6DE7336C"/>
    <w:rsid w:val="6DFC7B9F"/>
    <w:rsid w:val="6E0760D0"/>
    <w:rsid w:val="6E0927C5"/>
    <w:rsid w:val="6E1158BA"/>
    <w:rsid w:val="6E185997"/>
    <w:rsid w:val="6E1A373A"/>
    <w:rsid w:val="6E1A7481"/>
    <w:rsid w:val="6E1B105E"/>
    <w:rsid w:val="6E1F5D69"/>
    <w:rsid w:val="6E220C97"/>
    <w:rsid w:val="6E224A5B"/>
    <w:rsid w:val="6E27618D"/>
    <w:rsid w:val="6E35129D"/>
    <w:rsid w:val="6E39201E"/>
    <w:rsid w:val="6E4811D7"/>
    <w:rsid w:val="6E4A7C2E"/>
    <w:rsid w:val="6E511F12"/>
    <w:rsid w:val="6E617CA9"/>
    <w:rsid w:val="6E6C32CD"/>
    <w:rsid w:val="6E6F4755"/>
    <w:rsid w:val="6E737B36"/>
    <w:rsid w:val="6E7409D9"/>
    <w:rsid w:val="6E77033D"/>
    <w:rsid w:val="6E7C4E3C"/>
    <w:rsid w:val="6E865687"/>
    <w:rsid w:val="6E912F38"/>
    <w:rsid w:val="6E921DA1"/>
    <w:rsid w:val="6E940B04"/>
    <w:rsid w:val="6E965300"/>
    <w:rsid w:val="6E9F3528"/>
    <w:rsid w:val="6EA46912"/>
    <w:rsid w:val="6EA51B9F"/>
    <w:rsid w:val="6EA63752"/>
    <w:rsid w:val="6EA64819"/>
    <w:rsid w:val="6EA84C2B"/>
    <w:rsid w:val="6EAA489F"/>
    <w:rsid w:val="6EAB3BE1"/>
    <w:rsid w:val="6EAB5A16"/>
    <w:rsid w:val="6EB40256"/>
    <w:rsid w:val="6EC153B6"/>
    <w:rsid w:val="6EC47C33"/>
    <w:rsid w:val="6EC65E9A"/>
    <w:rsid w:val="6ECE3DBA"/>
    <w:rsid w:val="6ED673DE"/>
    <w:rsid w:val="6ED77BF9"/>
    <w:rsid w:val="6ED96A02"/>
    <w:rsid w:val="6EDC7E1D"/>
    <w:rsid w:val="6EEA4297"/>
    <w:rsid w:val="6EF00518"/>
    <w:rsid w:val="6EF219BB"/>
    <w:rsid w:val="6F003FF0"/>
    <w:rsid w:val="6F004303"/>
    <w:rsid w:val="6F045596"/>
    <w:rsid w:val="6F06324C"/>
    <w:rsid w:val="6F0810D3"/>
    <w:rsid w:val="6F0D32C5"/>
    <w:rsid w:val="6F0D6FAE"/>
    <w:rsid w:val="6F102A16"/>
    <w:rsid w:val="6F132315"/>
    <w:rsid w:val="6F193EA2"/>
    <w:rsid w:val="6F1A6406"/>
    <w:rsid w:val="6F1B7484"/>
    <w:rsid w:val="6F1F6E65"/>
    <w:rsid w:val="6F247658"/>
    <w:rsid w:val="6F300304"/>
    <w:rsid w:val="6F364E6A"/>
    <w:rsid w:val="6F477C73"/>
    <w:rsid w:val="6F494657"/>
    <w:rsid w:val="6F497592"/>
    <w:rsid w:val="6F58211E"/>
    <w:rsid w:val="6F5C2A7B"/>
    <w:rsid w:val="6F607092"/>
    <w:rsid w:val="6F6276D1"/>
    <w:rsid w:val="6F6277C3"/>
    <w:rsid w:val="6F631F0A"/>
    <w:rsid w:val="6F64001B"/>
    <w:rsid w:val="6F6538C4"/>
    <w:rsid w:val="6F671B6F"/>
    <w:rsid w:val="6F8426D4"/>
    <w:rsid w:val="6F897F4B"/>
    <w:rsid w:val="6F8C5AA5"/>
    <w:rsid w:val="6F8F537D"/>
    <w:rsid w:val="6F9B34F3"/>
    <w:rsid w:val="6FA274A1"/>
    <w:rsid w:val="6FA32C4E"/>
    <w:rsid w:val="6FA742BB"/>
    <w:rsid w:val="6FAB7699"/>
    <w:rsid w:val="6FAE711A"/>
    <w:rsid w:val="6FB628CA"/>
    <w:rsid w:val="6FBF7E82"/>
    <w:rsid w:val="6FC0794B"/>
    <w:rsid w:val="6FC5072F"/>
    <w:rsid w:val="6FD4076D"/>
    <w:rsid w:val="6FD6728B"/>
    <w:rsid w:val="6FD73EF4"/>
    <w:rsid w:val="6FD971CE"/>
    <w:rsid w:val="6FDA731E"/>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E25E4"/>
    <w:rsid w:val="70373FBC"/>
    <w:rsid w:val="70390CF0"/>
    <w:rsid w:val="703950AF"/>
    <w:rsid w:val="703A151D"/>
    <w:rsid w:val="703B64CB"/>
    <w:rsid w:val="703C38DB"/>
    <w:rsid w:val="703C6EA9"/>
    <w:rsid w:val="703D4B4E"/>
    <w:rsid w:val="70423C90"/>
    <w:rsid w:val="70490D6C"/>
    <w:rsid w:val="70691205"/>
    <w:rsid w:val="706B38CF"/>
    <w:rsid w:val="706B49E5"/>
    <w:rsid w:val="706F6FD3"/>
    <w:rsid w:val="70704FB3"/>
    <w:rsid w:val="707118E2"/>
    <w:rsid w:val="707427EF"/>
    <w:rsid w:val="707B7148"/>
    <w:rsid w:val="707F3C4D"/>
    <w:rsid w:val="70886494"/>
    <w:rsid w:val="70893CAF"/>
    <w:rsid w:val="709257D1"/>
    <w:rsid w:val="709A12DB"/>
    <w:rsid w:val="70A43C84"/>
    <w:rsid w:val="70A86AB1"/>
    <w:rsid w:val="70B4619D"/>
    <w:rsid w:val="70BD1E0E"/>
    <w:rsid w:val="70C82067"/>
    <w:rsid w:val="70CA0E91"/>
    <w:rsid w:val="70CC567E"/>
    <w:rsid w:val="70CD0FF4"/>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F0EA2"/>
    <w:rsid w:val="7118667D"/>
    <w:rsid w:val="71196FB8"/>
    <w:rsid w:val="711D328F"/>
    <w:rsid w:val="71276823"/>
    <w:rsid w:val="712E1A7A"/>
    <w:rsid w:val="713122F0"/>
    <w:rsid w:val="71346AEB"/>
    <w:rsid w:val="71367813"/>
    <w:rsid w:val="713B4C32"/>
    <w:rsid w:val="713C5C10"/>
    <w:rsid w:val="714D267F"/>
    <w:rsid w:val="71507CEF"/>
    <w:rsid w:val="71524583"/>
    <w:rsid w:val="715455B3"/>
    <w:rsid w:val="71553813"/>
    <w:rsid w:val="715B17FA"/>
    <w:rsid w:val="715D4E0B"/>
    <w:rsid w:val="715E557A"/>
    <w:rsid w:val="715F1F9A"/>
    <w:rsid w:val="71690217"/>
    <w:rsid w:val="716A46B9"/>
    <w:rsid w:val="717801A9"/>
    <w:rsid w:val="717F36DE"/>
    <w:rsid w:val="718778F2"/>
    <w:rsid w:val="71892B0B"/>
    <w:rsid w:val="719164BB"/>
    <w:rsid w:val="719F26B9"/>
    <w:rsid w:val="719F30CC"/>
    <w:rsid w:val="71A108F8"/>
    <w:rsid w:val="71A13ADE"/>
    <w:rsid w:val="71A46691"/>
    <w:rsid w:val="71A52E27"/>
    <w:rsid w:val="71AA3D22"/>
    <w:rsid w:val="71AD0E11"/>
    <w:rsid w:val="71B033EE"/>
    <w:rsid w:val="71B31E21"/>
    <w:rsid w:val="71B4585C"/>
    <w:rsid w:val="71C305B7"/>
    <w:rsid w:val="71C53AE0"/>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10BEB"/>
    <w:rsid w:val="722A42EA"/>
    <w:rsid w:val="723177B6"/>
    <w:rsid w:val="7234447E"/>
    <w:rsid w:val="723F77B4"/>
    <w:rsid w:val="724B515A"/>
    <w:rsid w:val="72535D9A"/>
    <w:rsid w:val="72615664"/>
    <w:rsid w:val="7267764A"/>
    <w:rsid w:val="726B0E05"/>
    <w:rsid w:val="726D0FA4"/>
    <w:rsid w:val="72716FCE"/>
    <w:rsid w:val="727505FF"/>
    <w:rsid w:val="727524C5"/>
    <w:rsid w:val="727A2878"/>
    <w:rsid w:val="727A7D1A"/>
    <w:rsid w:val="727B4290"/>
    <w:rsid w:val="72820589"/>
    <w:rsid w:val="72875F01"/>
    <w:rsid w:val="728762FF"/>
    <w:rsid w:val="729732E1"/>
    <w:rsid w:val="729807B0"/>
    <w:rsid w:val="72B02357"/>
    <w:rsid w:val="72B150BE"/>
    <w:rsid w:val="72B422CB"/>
    <w:rsid w:val="72B52091"/>
    <w:rsid w:val="72B925C1"/>
    <w:rsid w:val="72B97A7C"/>
    <w:rsid w:val="72BF7F25"/>
    <w:rsid w:val="72CB2534"/>
    <w:rsid w:val="72CC125D"/>
    <w:rsid w:val="72CE1997"/>
    <w:rsid w:val="72D006F0"/>
    <w:rsid w:val="72D91102"/>
    <w:rsid w:val="72DD74F0"/>
    <w:rsid w:val="72E27A0E"/>
    <w:rsid w:val="72EF09E9"/>
    <w:rsid w:val="72F0664A"/>
    <w:rsid w:val="72FC45F3"/>
    <w:rsid w:val="72FE328E"/>
    <w:rsid w:val="72FE7704"/>
    <w:rsid w:val="73034A50"/>
    <w:rsid w:val="730462D7"/>
    <w:rsid w:val="7306194D"/>
    <w:rsid w:val="73153633"/>
    <w:rsid w:val="7316638E"/>
    <w:rsid w:val="73167058"/>
    <w:rsid w:val="731C06A9"/>
    <w:rsid w:val="7323676E"/>
    <w:rsid w:val="7325632D"/>
    <w:rsid w:val="732B6C64"/>
    <w:rsid w:val="73305690"/>
    <w:rsid w:val="73333891"/>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C32DE"/>
    <w:rsid w:val="73D1234D"/>
    <w:rsid w:val="73DA5F96"/>
    <w:rsid w:val="73DB2094"/>
    <w:rsid w:val="73E15536"/>
    <w:rsid w:val="73E63103"/>
    <w:rsid w:val="73E838A6"/>
    <w:rsid w:val="73E87940"/>
    <w:rsid w:val="73EF34A0"/>
    <w:rsid w:val="73F33807"/>
    <w:rsid w:val="73F67C10"/>
    <w:rsid w:val="73FC210E"/>
    <w:rsid w:val="740230FB"/>
    <w:rsid w:val="740870DF"/>
    <w:rsid w:val="740F2555"/>
    <w:rsid w:val="740F2B8B"/>
    <w:rsid w:val="740F2BA4"/>
    <w:rsid w:val="74142294"/>
    <w:rsid w:val="74185F17"/>
    <w:rsid w:val="741E5779"/>
    <w:rsid w:val="742227D1"/>
    <w:rsid w:val="74277835"/>
    <w:rsid w:val="74283D09"/>
    <w:rsid w:val="742B00D0"/>
    <w:rsid w:val="742E587E"/>
    <w:rsid w:val="743965EB"/>
    <w:rsid w:val="74410C1E"/>
    <w:rsid w:val="744810E9"/>
    <w:rsid w:val="74525205"/>
    <w:rsid w:val="745471DF"/>
    <w:rsid w:val="745D77C8"/>
    <w:rsid w:val="74663D42"/>
    <w:rsid w:val="746D50DA"/>
    <w:rsid w:val="746F7244"/>
    <w:rsid w:val="7471001B"/>
    <w:rsid w:val="74716A08"/>
    <w:rsid w:val="747A6F58"/>
    <w:rsid w:val="747B7F4A"/>
    <w:rsid w:val="747C4DE9"/>
    <w:rsid w:val="74806D03"/>
    <w:rsid w:val="74813EEA"/>
    <w:rsid w:val="74883531"/>
    <w:rsid w:val="74886C9D"/>
    <w:rsid w:val="748E40CB"/>
    <w:rsid w:val="74902902"/>
    <w:rsid w:val="74904A1C"/>
    <w:rsid w:val="74905AB6"/>
    <w:rsid w:val="749A353B"/>
    <w:rsid w:val="749E3A5B"/>
    <w:rsid w:val="74B30C33"/>
    <w:rsid w:val="74CA3AD5"/>
    <w:rsid w:val="74CC087B"/>
    <w:rsid w:val="74CC36DC"/>
    <w:rsid w:val="74CE67CF"/>
    <w:rsid w:val="74CF49BD"/>
    <w:rsid w:val="74D073FB"/>
    <w:rsid w:val="74D25EE2"/>
    <w:rsid w:val="74D94700"/>
    <w:rsid w:val="74E21F05"/>
    <w:rsid w:val="74E73044"/>
    <w:rsid w:val="74E834DD"/>
    <w:rsid w:val="74EA4730"/>
    <w:rsid w:val="74EA64E9"/>
    <w:rsid w:val="74EB5471"/>
    <w:rsid w:val="74F821E3"/>
    <w:rsid w:val="74FE6EDC"/>
    <w:rsid w:val="75004176"/>
    <w:rsid w:val="75017AB3"/>
    <w:rsid w:val="75076022"/>
    <w:rsid w:val="750D05D3"/>
    <w:rsid w:val="750E04AA"/>
    <w:rsid w:val="750E7F27"/>
    <w:rsid w:val="75126E17"/>
    <w:rsid w:val="7518029F"/>
    <w:rsid w:val="75197265"/>
    <w:rsid w:val="75210929"/>
    <w:rsid w:val="752769BB"/>
    <w:rsid w:val="752A7B48"/>
    <w:rsid w:val="752D5945"/>
    <w:rsid w:val="75301430"/>
    <w:rsid w:val="75303C91"/>
    <w:rsid w:val="7534510A"/>
    <w:rsid w:val="75353189"/>
    <w:rsid w:val="753A1E42"/>
    <w:rsid w:val="75413000"/>
    <w:rsid w:val="75437BF3"/>
    <w:rsid w:val="75501785"/>
    <w:rsid w:val="75522634"/>
    <w:rsid w:val="755527D7"/>
    <w:rsid w:val="75562DC2"/>
    <w:rsid w:val="7556508C"/>
    <w:rsid w:val="75591A9F"/>
    <w:rsid w:val="75626BBB"/>
    <w:rsid w:val="75631871"/>
    <w:rsid w:val="75646B2F"/>
    <w:rsid w:val="757275C5"/>
    <w:rsid w:val="7574148B"/>
    <w:rsid w:val="75791231"/>
    <w:rsid w:val="757B2CAA"/>
    <w:rsid w:val="75802CAB"/>
    <w:rsid w:val="758B2A69"/>
    <w:rsid w:val="758B5810"/>
    <w:rsid w:val="758D6FEA"/>
    <w:rsid w:val="759064D2"/>
    <w:rsid w:val="7590720B"/>
    <w:rsid w:val="75917E72"/>
    <w:rsid w:val="759219B1"/>
    <w:rsid w:val="75AD4917"/>
    <w:rsid w:val="75AD4F3F"/>
    <w:rsid w:val="75AD5DED"/>
    <w:rsid w:val="75AD6B4D"/>
    <w:rsid w:val="75B57B03"/>
    <w:rsid w:val="75B7184F"/>
    <w:rsid w:val="75C14F57"/>
    <w:rsid w:val="75CD7D4D"/>
    <w:rsid w:val="75D44B9C"/>
    <w:rsid w:val="75D6554E"/>
    <w:rsid w:val="75D9472D"/>
    <w:rsid w:val="75E4155A"/>
    <w:rsid w:val="75F32161"/>
    <w:rsid w:val="75F62085"/>
    <w:rsid w:val="75FE0748"/>
    <w:rsid w:val="76015723"/>
    <w:rsid w:val="76054065"/>
    <w:rsid w:val="760A0B3F"/>
    <w:rsid w:val="76105091"/>
    <w:rsid w:val="76137111"/>
    <w:rsid w:val="76160B37"/>
    <w:rsid w:val="76240809"/>
    <w:rsid w:val="76284A99"/>
    <w:rsid w:val="762B0A64"/>
    <w:rsid w:val="76330CEC"/>
    <w:rsid w:val="76347E97"/>
    <w:rsid w:val="763E49DF"/>
    <w:rsid w:val="763F2481"/>
    <w:rsid w:val="765510D9"/>
    <w:rsid w:val="76634ABB"/>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BE26B9"/>
    <w:rsid w:val="76BF582A"/>
    <w:rsid w:val="76C524B6"/>
    <w:rsid w:val="76C531DC"/>
    <w:rsid w:val="76CD0623"/>
    <w:rsid w:val="76CF40F0"/>
    <w:rsid w:val="76D2560C"/>
    <w:rsid w:val="76D63596"/>
    <w:rsid w:val="76D65BBC"/>
    <w:rsid w:val="76D823FA"/>
    <w:rsid w:val="76D84669"/>
    <w:rsid w:val="76DA0CCD"/>
    <w:rsid w:val="76ED2324"/>
    <w:rsid w:val="76F2006B"/>
    <w:rsid w:val="76F61F1D"/>
    <w:rsid w:val="76FB2FAF"/>
    <w:rsid w:val="76FE5A26"/>
    <w:rsid w:val="76FF12B1"/>
    <w:rsid w:val="77031448"/>
    <w:rsid w:val="77073F43"/>
    <w:rsid w:val="770F3B36"/>
    <w:rsid w:val="771071DC"/>
    <w:rsid w:val="77184032"/>
    <w:rsid w:val="772209CB"/>
    <w:rsid w:val="7723195D"/>
    <w:rsid w:val="772A1315"/>
    <w:rsid w:val="7734235A"/>
    <w:rsid w:val="773D2B51"/>
    <w:rsid w:val="773F59CC"/>
    <w:rsid w:val="774E7377"/>
    <w:rsid w:val="774F5379"/>
    <w:rsid w:val="77537360"/>
    <w:rsid w:val="77583047"/>
    <w:rsid w:val="775A67F8"/>
    <w:rsid w:val="775D0DCF"/>
    <w:rsid w:val="776558E7"/>
    <w:rsid w:val="77724A87"/>
    <w:rsid w:val="777344D6"/>
    <w:rsid w:val="777372B3"/>
    <w:rsid w:val="777525EF"/>
    <w:rsid w:val="777E00BA"/>
    <w:rsid w:val="778A6405"/>
    <w:rsid w:val="778C20B8"/>
    <w:rsid w:val="778C3CA6"/>
    <w:rsid w:val="778F33CE"/>
    <w:rsid w:val="779232E0"/>
    <w:rsid w:val="77931EFF"/>
    <w:rsid w:val="779F47B2"/>
    <w:rsid w:val="77A50807"/>
    <w:rsid w:val="77AF421C"/>
    <w:rsid w:val="77B36B5D"/>
    <w:rsid w:val="77B61118"/>
    <w:rsid w:val="77B75A06"/>
    <w:rsid w:val="77C0217C"/>
    <w:rsid w:val="77C73C66"/>
    <w:rsid w:val="77CC6CB8"/>
    <w:rsid w:val="77D0780A"/>
    <w:rsid w:val="77E1742C"/>
    <w:rsid w:val="77E17891"/>
    <w:rsid w:val="77E4323F"/>
    <w:rsid w:val="77E55DE5"/>
    <w:rsid w:val="77EA424F"/>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B1B85"/>
    <w:rsid w:val="78BB450B"/>
    <w:rsid w:val="78C54E82"/>
    <w:rsid w:val="78C60ED3"/>
    <w:rsid w:val="78C6582A"/>
    <w:rsid w:val="78C709C2"/>
    <w:rsid w:val="78D23B7E"/>
    <w:rsid w:val="78E10719"/>
    <w:rsid w:val="78F14E36"/>
    <w:rsid w:val="78FB7710"/>
    <w:rsid w:val="79081CD5"/>
    <w:rsid w:val="790C2CCB"/>
    <w:rsid w:val="791035E5"/>
    <w:rsid w:val="791A0BFE"/>
    <w:rsid w:val="791C71D0"/>
    <w:rsid w:val="79201362"/>
    <w:rsid w:val="79231B51"/>
    <w:rsid w:val="79232A8D"/>
    <w:rsid w:val="792367A0"/>
    <w:rsid w:val="792625EA"/>
    <w:rsid w:val="792B78FE"/>
    <w:rsid w:val="792F24D4"/>
    <w:rsid w:val="7934402C"/>
    <w:rsid w:val="79494A2B"/>
    <w:rsid w:val="795072DC"/>
    <w:rsid w:val="795A6118"/>
    <w:rsid w:val="795B7AF6"/>
    <w:rsid w:val="7966464C"/>
    <w:rsid w:val="796B1171"/>
    <w:rsid w:val="797140B6"/>
    <w:rsid w:val="79734775"/>
    <w:rsid w:val="7975414F"/>
    <w:rsid w:val="79792797"/>
    <w:rsid w:val="79793509"/>
    <w:rsid w:val="797A0ED7"/>
    <w:rsid w:val="797B64FD"/>
    <w:rsid w:val="797B6D10"/>
    <w:rsid w:val="797F3A23"/>
    <w:rsid w:val="798A6B95"/>
    <w:rsid w:val="798E16DB"/>
    <w:rsid w:val="798F00A9"/>
    <w:rsid w:val="79976D83"/>
    <w:rsid w:val="799B7317"/>
    <w:rsid w:val="79A24D61"/>
    <w:rsid w:val="79A675AF"/>
    <w:rsid w:val="79A91563"/>
    <w:rsid w:val="79AB1394"/>
    <w:rsid w:val="79B033DC"/>
    <w:rsid w:val="79B3005A"/>
    <w:rsid w:val="79B530ED"/>
    <w:rsid w:val="79B827E4"/>
    <w:rsid w:val="79B8596D"/>
    <w:rsid w:val="79BF6579"/>
    <w:rsid w:val="79C06021"/>
    <w:rsid w:val="79C07795"/>
    <w:rsid w:val="79C27365"/>
    <w:rsid w:val="79D2238A"/>
    <w:rsid w:val="79D93320"/>
    <w:rsid w:val="79DC79C2"/>
    <w:rsid w:val="79E13F39"/>
    <w:rsid w:val="79E13F82"/>
    <w:rsid w:val="79E17612"/>
    <w:rsid w:val="79E979BB"/>
    <w:rsid w:val="79EA0223"/>
    <w:rsid w:val="79F4787F"/>
    <w:rsid w:val="79F73FC2"/>
    <w:rsid w:val="79FA136D"/>
    <w:rsid w:val="79FD3BCB"/>
    <w:rsid w:val="7A040D63"/>
    <w:rsid w:val="7A05786A"/>
    <w:rsid w:val="7A0D7065"/>
    <w:rsid w:val="7A195FFA"/>
    <w:rsid w:val="7A1A0922"/>
    <w:rsid w:val="7A1B3F1C"/>
    <w:rsid w:val="7A200264"/>
    <w:rsid w:val="7A23724A"/>
    <w:rsid w:val="7A283BF5"/>
    <w:rsid w:val="7A2F4BCF"/>
    <w:rsid w:val="7A3463D9"/>
    <w:rsid w:val="7A3974D6"/>
    <w:rsid w:val="7A4060AE"/>
    <w:rsid w:val="7A442764"/>
    <w:rsid w:val="7A4B390A"/>
    <w:rsid w:val="7A4C413A"/>
    <w:rsid w:val="7A5467D6"/>
    <w:rsid w:val="7A55702A"/>
    <w:rsid w:val="7A5675F8"/>
    <w:rsid w:val="7A5B6C79"/>
    <w:rsid w:val="7A5C5D1E"/>
    <w:rsid w:val="7A6064FC"/>
    <w:rsid w:val="7A674ACE"/>
    <w:rsid w:val="7A6C55B5"/>
    <w:rsid w:val="7A6E34CA"/>
    <w:rsid w:val="7A787FB1"/>
    <w:rsid w:val="7A797208"/>
    <w:rsid w:val="7A7F7981"/>
    <w:rsid w:val="7A821419"/>
    <w:rsid w:val="7A831E06"/>
    <w:rsid w:val="7A874FD1"/>
    <w:rsid w:val="7A9143C1"/>
    <w:rsid w:val="7AAB2D5F"/>
    <w:rsid w:val="7AAC38E0"/>
    <w:rsid w:val="7AB55CF4"/>
    <w:rsid w:val="7ABF10D1"/>
    <w:rsid w:val="7AC03E60"/>
    <w:rsid w:val="7AC36589"/>
    <w:rsid w:val="7AC743A7"/>
    <w:rsid w:val="7AD75598"/>
    <w:rsid w:val="7ADA08CB"/>
    <w:rsid w:val="7ADE7D20"/>
    <w:rsid w:val="7AE16BF9"/>
    <w:rsid w:val="7AE6530E"/>
    <w:rsid w:val="7AEF0262"/>
    <w:rsid w:val="7AF40307"/>
    <w:rsid w:val="7AF70369"/>
    <w:rsid w:val="7B0A1118"/>
    <w:rsid w:val="7B0D40E5"/>
    <w:rsid w:val="7B1846E5"/>
    <w:rsid w:val="7B1C2184"/>
    <w:rsid w:val="7B2B2FA5"/>
    <w:rsid w:val="7B2D37CA"/>
    <w:rsid w:val="7B5263BB"/>
    <w:rsid w:val="7B576462"/>
    <w:rsid w:val="7B594B85"/>
    <w:rsid w:val="7B5B2668"/>
    <w:rsid w:val="7B5D24AF"/>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56F44"/>
    <w:rsid w:val="7B9648F5"/>
    <w:rsid w:val="7BB31BAD"/>
    <w:rsid w:val="7BBA5E12"/>
    <w:rsid w:val="7BBD0D0E"/>
    <w:rsid w:val="7BC52D01"/>
    <w:rsid w:val="7BC754A2"/>
    <w:rsid w:val="7BC94242"/>
    <w:rsid w:val="7BD20703"/>
    <w:rsid w:val="7BD94BA0"/>
    <w:rsid w:val="7BE51920"/>
    <w:rsid w:val="7BEC5AB6"/>
    <w:rsid w:val="7BEE02B3"/>
    <w:rsid w:val="7BEE1215"/>
    <w:rsid w:val="7BF54F0F"/>
    <w:rsid w:val="7C013AFE"/>
    <w:rsid w:val="7C142374"/>
    <w:rsid w:val="7C1B24E3"/>
    <w:rsid w:val="7C1F2759"/>
    <w:rsid w:val="7C203471"/>
    <w:rsid w:val="7C214E9E"/>
    <w:rsid w:val="7C222FFB"/>
    <w:rsid w:val="7C2B3FDE"/>
    <w:rsid w:val="7C306EAC"/>
    <w:rsid w:val="7C360911"/>
    <w:rsid w:val="7C370C08"/>
    <w:rsid w:val="7C376987"/>
    <w:rsid w:val="7C411007"/>
    <w:rsid w:val="7C4E5B95"/>
    <w:rsid w:val="7C5663FA"/>
    <w:rsid w:val="7C570F3D"/>
    <w:rsid w:val="7C591703"/>
    <w:rsid w:val="7C5A5B18"/>
    <w:rsid w:val="7C5C7FCF"/>
    <w:rsid w:val="7C610FBE"/>
    <w:rsid w:val="7C674632"/>
    <w:rsid w:val="7C6E1C0C"/>
    <w:rsid w:val="7C7877B6"/>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C457FD"/>
    <w:rsid w:val="7CC47E43"/>
    <w:rsid w:val="7CC73521"/>
    <w:rsid w:val="7CCC1769"/>
    <w:rsid w:val="7CCE2A27"/>
    <w:rsid w:val="7CD3028D"/>
    <w:rsid w:val="7CD90778"/>
    <w:rsid w:val="7CDA3374"/>
    <w:rsid w:val="7CDC79B2"/>
    <w:rsid w:val="7CE171C5"/>
    <w:rsid w:val="7CE807C9"/>
    <w:rsid w:val="7CEB0513"/>
    <w:rsid w:val="7CEB2C45"/>
    <w:rsid w:val="7CEC1C44"/>
    <w:rsid w:val="7CF46A63"/>
    <w:rsid w:val="7CFD2D79"/>
    <w:rsid w:val="7CFF767A"/>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4B4641"/>
    <w:rsid w:val="7D4B771B"/>
    <w:rsid w:val="7D4D4279"/>
    <w:rsid w:val="7D4E1245"/>
    <w:rsid w:val="7D566E36"/>
    <w:rsid w:val="7D59513D"/>
    <w:rsid w:val="7D5A5E01"/>
    <w:rsid w:val="7D5F1874"/>
    <w:rsid w:val="7D603623"/>
    <w:rsid w:val="7D6579C4"/>
    <w:rsid w:val="7D6C3864"/>
    <w:rsid w:val="7D6E7EDC"/>
    <w:rsid w:val="7D7444FE"/>
    <w:rsid w:val="7D7B1A59"/>
    <w:rsid w:val="7D840A6F"/>
    <w:rsid w:val="7D8D2CD7"/>
    <w:rsid w:val="7D8D2D3B"/>
    <w:rsid w:val="7D8F2614"/>
    <w:rsid w:val="7D9A1DA9"/>
    <w:rsid w:val="7D9C551C"/>
    <w:rsid w:val="7D9D0F7F"/>
    <w:rsid w:val="7D9F21A1"/>
    <w:rsid w:val="7D9F7D79"/>
    <w:rsid w:val="7DA16A54"/>
    <w:rsid w:val="7DA374F4"/>
    <w:rsid w:val="7DA64427"/>
    <w:rsid w:val="7DA8503A"/>
    <w:rsid w:val="7DAB18FD"/>
    <w:rsid w:val="7DB85CB9"/>
    <w:rsid w:val="7DB97CCF"/>
    <w:rsid w:val="7DBC1B89"/>
    <w:rsid w:val="7DC15741"/>
    <w:rsid w:val="7DC35834"/>
    <w:rsid w:val="7DD13123"/>
    <w:rsid w:val="7DD414A6"/>
    <w:rsid w:val="7DDD1297"/>
    <w:rsid w:val="7DE03DEE"/>
    <w:rsid w:val="7DED0AE3"/>
    <w:rsid w:val="7DED452F"/>
    <w:rsid w:val="7DEF23BD"/>
    <w:rsid w:val="7DF06314"/>
    <w:rsid w:val="7DF92F2D"/>
    <w:rsid w:val="7DF9609A"/>
    <w:rsid w:val="7DFA7C32"/>
    <w:rsid w:val="7DFB62BF"/>
    <w:rsid w:val="7DFE6EA1"/>
    <w:rsid w:val="7E064420"/>
    <w:rsid w:val="7E072A2D"/>
    <w:rsid w:val="7E08013C"/>
    <w:rsid w:val="7E0E1198"/>
    <w:rsid w:val="7E13004E"/>
    <w:rsid w:val="7E165384"/>
    <w:rsid w:val="7E196663"/>
    <w:rsid w:val="7E1B6E9F"/>
    <w:rsid w:val="7E1C7387"/>
    <w:rsid w:val="7E1D54AF"/>
    <w:rsid w:val="7E2D53BF"/>
    <w:rsid w:val="7E2F4A5F"/>
    <w:rsid w:val="7E327A15"/>
    <w:rsid w:val="7E3D2B8F"/>
    <w:rsid w:val="7E403F72"/>
    <w:rsid w:val="7E4854DF"/>
    <w:rsid w:val="7E5B6848"/>
    <w:rsid w:val="7E665777"/>
    <w:rsid w:val="7E67389E"/>
    <w:rsid w:val="7E685078"/>
    <w:rsid w:val="7E695545"/>
    <w:rsid w:val="7E7D14C2"/>
    <w:rsid w:val="7E807CD3"/>
    <w:rsid w:val="7E81776E"/>
    <w:rsid w:val="7E827AA6"/>
    <w:rsid w:val="7E8B5F9F"/>
    <w:rsid w:val="7E8C54A3"/>
    <w:rsid w:val="7E8C6F7B"/>
    <w:rsid w:val="7E9056A4"/>
    <w:rsid w:val="7E964E64"/>
    <w:rsid w:val="7EAB6A25"/>
    <w:rsid w:val="7EAB707B"/>
    <w:rsid w:val="7EAE4F21"/>
    <w:rsid w:val="7EB237DA"/>
    <w:rsid w:val="7EB51150"/>
    <w:rsid w:val="7EBF7452"/>
    <w:rsid w:val="7EC54092"/>
    <w:rsid w:val="7ECA224D"/>
    <w:rsid w:val="7ED534FD"/>
    <w:rsid w:val="7ED65889"/>
    <w:rsid w:val="7ED965D6"/>
    <w:rsid w:val="7EE405BA"/>
    <w:rsid w:val="7EE701ED"/>
    <w:rsid w:val="7EEA67B2"/>
    <w:rsid w:val="7EEA6FE3"/>
    <w:rsid w:val="7EEB580B"/>
    <w:rsid w:val="7EF47B20"/>
    <w:rsid w:val="7EF81CCE"/>
    <w:rsid w:val="7F04131E"/>
    <w:rsid w:val="7F0F2694"/>
    <w:rsid w:val="7F1535FF"/>
    <w:rsid w:val="7F193139"/>
    <w:rsid w:val="7F2E4452"/>
    <w:rsid w:val="7F3277A1"/>
    <w:rsid w:val="7F3B3101"/>
    <w:rsid w:val="7F3B4E97"/>
    <w:rsid w:val="7F3D45CB"/>
    <w:rsid w:val="7F3D5899"/>
    <w:rsid w:val="7F405053"/>
    <w:rsid w:val="7F425F57"/>
    <w:rsid w:val="7F5410D4"/>
    <w:rsid w:val="7F590744"/>
    <w:rsid w:val="7F591C40"/>
    <w:rsid w:val="7F5E14A3"/>
    <w:rsid w:val="7F6767D5"/>
    <w:rsid w:val="7F6A137F"/>
    <w:rsid w:val="7F6D2F51"/>
    <w:rsid w:val="7F6F052D"/>
    <w:rsid w:val="7F6F259F"/>
    <w:rsid w:val="7F780840"/>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80036"/>
    <w:rsid w:val="7FD051DA"/>
    <w:rsid w:val="7FD376CE"/>
    <w:rsid w:val="7FD57FF0"/>
    <w:rsid w:val="7FD75105"/>
    <w:rsid w:val="7FDB57CC"/>
    <w:rsid w:val="7FDD080F"/>
    <w:rsid w:val="7FE02FA7"/>
    <w:rsid w:val="7FE21467"/>
    <w:rsid w:val="7FE478DE"/>
    <w:rsid w:val="7FE55F78"/>
    <w:rsid w:val="7FEA55B6"/>
    <w:rsid w:val="7FEB29AF"/>
    <w:rsid w:val="7FEC2318"/>
    <w:rsid w:val="7FED6376"/>
    <w:rsid w:val="7FF01DE4"/>
    <w:rsid w:val="7FF15FD3"/>
    <w:rsid w:val="7FF37351"/>
    <w:rsid w:val="7FF61F0C"/>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0</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2021-01-15T16:27:05Z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